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DDA" w:rsidRDefault="00A77DDA">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14</w:t>
      </w:r>
      <w:r>
        <w:rPr>
          <w:rFonts w:ascii="Arial" w:hAnsi="Arial" w:cs="Arial"/>
          <w:sz w:val="22"/>
        </w:rPr>
        <w:t xml:space="preserve"> </w:t>
      </w:r>
      <w:r>
        <w:rPr>
          <w:rFonts w:ascii="Arial" w:hAnsi="Arial" w:cs="Arial"/>
          <w:sz w:val="22"/>
        </w:rPr>
        <w:tab/>
        <w:t xml:space="preserve">                                      </w:t>
      </w:r>
      <w:r>
        <w:rPr>
          <w:rFonts w:ascii="Arial" w:hAnsi="Arial" w:cs="Arial"/>
          <w:sz w:val="22"/>
        </w:rPr>
        <w:tab/>
        <w:t xml:space="preserve"> </w:t>
      </w:r>
      <w:r>
        <w:rPr>
          <w:rFonts w:ascii="Arial" w:hAnsi="Arial" w:cs="Arial" w:hint="eastAsia"/>
          <w:sz w:val="22"/>
        </w:rPr>
        <w:t xml:space="preserve">        </w:t>
      </w:r>
      <w:r>
        <w:rPr>
          <w:rFonts w:ascii="Arial" w:hAnsi="Arial" w:cs="Arial"/>
          <w:sz w:val="22"/>
        </w:rPr>
        <w:t>R1-230</w:t>
      </w:r>
      <w:r>
        <w:rPr>
          <w:rFonts w:ascii="Arial" w:hAnsi="Arial" w:cs="Arial" w:hint="eastAsia"/>
          <w:sz w:val="22"/>
        </w:rPr>
        <w:t>6565</w:t>
      </w:r>
    </w:p>
    <w:p w:rsidR="002F0DDA" w:rsidRDefault="00A77DDA">
      <w:pPr>
        <w:pStyle w:val="3GPPHeader"/>
        <w:snapToGrid w:val="0"/>
        <w:rPr>
          <w:rFonts w:cs="Arial"/>
          <w:bCs/>
          <w:sz w:val="22"/>
        </w:rPr>
      </w:pPr>
      <w:r>
        <w:rPr>
          <w:rFonts w:cs="Arial" w:hint="eastAsia"/>
          <w:bCs/>
        </w:rPr>
        <w:t>Toulouse</w:t>
      </w:r>
      <w:r>
        <w:rPr>
          <w:rFonts w:cs="Arial"/>
          <w:bCs/>
        </w:rPr>
        <w:t xml:space="preserve">, </w:t>
      </w:r>
      <w:r>
        <w:rPr>
          <w:rFonts w:cs="Arial" w:hint="eastAsia"/>
          <w:bCs/>
        </w:rPr>
        <w:t>France</w:t>
      </w:r>
      <w:r>
        <w:rPr>
          <w:rFonts w:cs="Arial"/>
          <w:bCs/>
          <w:sz w:val="22"/>
        </w:rPr>
        <w:t xml:space="preserve">, </w:t>
      </w:r>
      <w:r>
        <w:rPr>
          <w:rFonts w:cs="Arial" w:hint="eastAsia"/>
          <w:bCs/>
        </w:rPr>
        <w:t>August 21</w:t>
      </w:r>
      <w:r>
        <w:rPr>
          <w:rFonts w:cs="Arial" w:hint="eastAsia"/>
          <w:bCs/>
          <w:vertAlign w:val="superscript"/>
        </w:rPr>
        <w:t>st</w:t>
      </w:r>
      <w:r>
        <w:rPr>
          <w:rFonts w:cs="Arial"/>
          <w:bCs/>
        </w:rPr>
        <w:t xml:space="preserve"> </w:t>
      </w:r>
      <w:r>
        <w:rPr>
          <w:rFonts w:eastAsia="MS Mincho" w:cs="Arial"/>
          <w:bCs/>
          <w:kern w:val="0"/>
          <w:sz w:val="22"/>
          <w:lang w:eastAsia="ja-JP"/>
        </w:rPr>
        <w:t>– August</w:t>
      </w:r>
      <w:r>
        <w:rPr>
          <w:rFonts w:cs="Arial"/>
          <w:bCs/>
        </w:rPr>
        <w:t xml:space="preserve"> 2</w:t>
      </w:r>
      <w:r>
        <w:rPr>
          <w:rFonts w:cs="Arial" w:hint="eastAsia"/>
          <w:bCs/>
        </w:rPr>
        <w:t>5</w:t>
      </w:r>
      <w:r>
        <w:rPr>
          <w:rFonts w:cs="Arial"/>
          <w:bCs/>
          <w:vertAlign w:val="superscript"/>
        </w:rPr>
        <w:t>th</w:t>
      </w:r>
      <w:r>
        <w:rPr>
          <w:rFonts w:cs="Arial"/>
          <w:bCs/>
          <w:sz w:val="22"/>
        </w:rPr>
        <w:t>, 2023</w:t>
      </w:r>
    </w:p>
    <w:p w:rsidR="002F0DDA" w:rsidRDefault="002F0DDA">
      <w:pPr>
        <w:pStyle w:val="3GPPHeader"/>
        <w:snapToGrid w:val="0"/>
        <w:rPr>
          <w:rFonts w:cs="Arial"/>
          <w:sz w:val="22"/>
        </w:rPr>
      </w:pPr>
    </w:p>
    <w:p w:rsidR="002F0DDA" w:rsidRDefault="00A77DDA">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2F0DDA" w:rsidRDefault="00A77DDA">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disabling of HARQ feedback for IoT-NTN</w:t>
      </w:r>
    </w:p>
    <w:p w:rsidR="002F0DDA" w:rsidRDefault="00A77DDA">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9.3</w:t>
      </w:r>
    </w:p>
    <w:p w:rsidR="002F0DDA" w:rsidRDefault="00A77DDA">
      <w:pPr>
        <w:pBdr>
          <w:bottom w:val="single" w:sz="6" w:space="1" w:color="auto"/>
        </w:pBdr>
        <w:snapToGrid w:val="0"/>
        <w:jc w:val="both"/>
        <w:rPr>
          <w:rFonts w:ascii="Arial" w:hAnsi="Arial"/>
          <w:b/>
        </w:rPr>
      </w:pPr>
      <w:r>
        <w:rPr>
          <w:rFonts w:ascii="Arial" w:hAnsi="Arial"/>
          <w:b/>
        </w:rPr>
        <w:t>Document for: Discussion</w:t>
      </w:r>
      <w:bookmarkEnd w:id="0"/>
      <w:bookmarkEnd w:id="1"/>
    </w:p>
    <w:p w:rsidR="002F0DDA" w:rsidRDefault="00A77DD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2F0DDA" w:rsidRDefault="00A77DDA">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RAN1#113</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_Ref118468455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solutions to configure the HARQ feedback enabling/disabling for IoT-NTN were discussed </w:t>
      </w:r>
      <w:r>
        <w:rPr>
          <w:rFonts w:ascii="Times New Roman" w:eastAsia="宋体" w:hAnsi="Times New Roman" w:cs="Times New Roman" w:hint="eastAsia"/>
          <w:sz w:val="20"/>
          <w:szCs w:val="20"/>
        </w:rPr>
        <w:t>with</w:t>
      </w:r>
      <w:r>
        <w:rPr>
          <w:rFonts w:ascii="Times New Roman" w:eastAsia="宋体" w:hAnsi="Times New Roman" w:cs="Times New Roman"/>
          <w:sz w:val="20"/>
          <w:szCs w:val="20"/>
        </w:rPr>
        <w:t xml:space="preserve"> corresponding progress.</w:t>
      </w:r>
    </w:p>
    <w:p w:rsidR="002F0DDA" w:rsidRDefault="00A77DDA">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the solutions to </w:t>
      </w:r>
      <w:r>
        <w:rPr>
          <w:rFonts w:ascii="Times New Roman" w:eastAsia="宋体" w:hAnsi="Times New Roman" w:cs="Times New Roman" w:hint="eastAsia"/>
          <w:sz w:val="20"/>
          <w:szCs w:val="20"/>
        </w:rPr>
        <w:t>configure the HARQ feedback ena</w:t>
      </w:r>
      <w:r>
        <w:rPr>
          <w:rFonts w:ascii="Times New Roman" w:eastAsia="宋体" w:hAnsi="Times New Roman" w:cs="Times New Roman" w:hint="eastAsia"/>
          <w:sz w:val="20"/>
          <w:szCs w:val="20"/>
        </w:rPr>
        <w:t>bling/disabling</w:t>
      </w:r>
      <w:r>
        <w:rPr>
          <w:rFonts w:ascii="Times New Roman" w:eastAsia="宋体" w:hAnsi="Times New Roman" w:cs="Times New Roman"/>
          <w:sz w:val="20"/>
          <w:szCs w:val="20"/>
        </w:rPr>
        <w:t xml:space="preserve"> and potential issues are further elaborated with corresponding analysis. </w:t>
      </w:r>
    </w:p>
    <w:p w:rsidR="002F0DDA" w:rsidRDefault="00A77DD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Configuration of HARQ feedback disabling</w:t>
      </w:r>
    </w:p>
    <w:p w:rsidR="002F0DDA" w:rsidRDefault="00A77DDA">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To mitigate the impact of HARQ sta</w:t>
      </w:r>
      <w:r>
        <w:rPr>
          <w:rFonts w:ascii="Times New Roman" w:eastAsia="宋体" w:hAnsi="Times New Roman" w:cs="Times New Roman" w:hint="eastAsia"/>
          <w:sz w:val="20"/>
          <w:szCs w:val="20"/>
        </w:rPr>
        <w:t>l</w:t>
      </w:r>
      <w:r>
        <w:rPr>
          <w:rFonts w:ascii="Times New Roman" w:eastAsia="宋体" w:hAnsi="Times New Roman" w:cs="Times New Roman"/>
          <w:sz w:val="20"/>
          <w:szCs w:val="20"/>
        </w:rPr>
        <w:t xml:space="preserve">ling with potential improvement on the </w:t>
      </w:r>
      <w:r>
        <w:rPr>
          <w:rFonts w:ascii="Times New Roman" w:eastAsia="宋体" w:hAnsi="Times New Roman" w:cs="Times New Roman" w:hint="eastAsia"/>
          <w:sz w:val="20"/>
          <w:szCs w:val="20"/>
        </w:rPr>
        <w:t xml:space="preserve">data </w:t>
      </w:r>
      <w:r>
        <w:rPr>
          <w:rFonts w:ascii="Times New Roman" w:eastAsia="宋体" w:hAnsi="Times New Roman" w:cs="Times New Roman"/>
          <w:sz w:val="20"/>
          <w:szCs w:val="20"/>
        </w:rPr>
        <w:t xml:space="preserve">rate for IoT case to enable more service, the </w:t>
      </w:r>
      <w:r>
        <w:rPr>
          <w:rFonts w:ascii="Times New Roman" w:eastAsia="宋体" w:hAnsi="Times New Roman" w:cs="Times New Roman" w:hint="eastAsia"/>
          <w:sz w:val="20"/>
          <w:szCs w:val="20"/>
        </w:rPr>
        <w:t xml:space="preserve">detailed </w:t>
      </w:r>
      <w:r>
        <w:rPr>
          <w:rFonts w:ascii="Times New Roman" w:eastAsia="宋体" w:hAnsi="Times New Roman" w:cs="Times New Roman"/>
          <w:sz w:val="20"/>
          <w:szCs w:val="20"/>
        </w:rPr>
        <w:t xml:space="preserve">solutions </w:t>
      </w:r>
      <w:r>
        <w:rPr>
          <w:rFonts w:ascii="Times New Roman" w:eastAsia="宋体" w:hAnsi="Times New Roman" w:cs="Times New Roman" w:hint="eastAsia"/>
          <w:sz w:val="20"/>
          <w:szCs w:val="20"/>
        </w:rPr>
        <w:t>to configure the HARQ feedback enabling/disabling</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were d</w:t>
      </w:r>
      <w:r>
        <w:rPr>
          <w:rFonts w:ascii="Times New Roman" w:eastAsia="宋体" w:hAnsi="Times New Roman" w:cs="Times New Roman"/>
          <w:sz w:val="20"/>
          <w:szCs w:val="20"/>
        </w:rPr>
        <w:t>iscussed</w:t>
      </w:r>
      <w:r>
        <w:rPr>
          <w:rFonts w:ascii="Times New Roman" w:eastAsia="宋体" w:hAnsi="Times New Roman" w:cs="Times New Roman" w:hint="eastAsia"/>
          <w:sz w:val="20"/>
          <w:szCs w:val="20"/>
        </w:rPr>
        <w:t xml:space="preserve"> in the RAN1 #113 meeting</w:t>
      </w:r>
      <w:r>
        <w:rPr>
          <w:rFonts w:ascii="Times New Roman" w:eastAsia="宋体" w:hAnsi="Times New Roman" w:cs="Times New Roman"/>
          <w:sz w:val="20"/>
          <w:szCs w:val="20"/>
        </w:rPr>
        <w:t xml:space="preserve"> and as listed below, the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corresponding </w:t>
      </w:r>
      <w:r>
        <w:rPr>
          <w:rFonts w:ascii="Times New Roman" w:eastAsia="宋体" w:hAnsi="Times New Roman" w:cs="Times New Roman" w:hint="eastAsia"/>
          <w:sz w:val="20"/>
          <w:szCs w:val="20"/>
        </w:rPr>
        <w:t>working assumption and agreement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were achieved</w:t>
      </w:r>
      <w:r>
        <w:rPr>
          <w:rFonts w:ascii="Times New Roman" w:eastAsia="宋体" w:hAnsi="Times New Roman" w:cs="Times New Roman"/>
          <w:sz w:val="20"/>
          <w:szCs w:val="20"/>
        </w:rPr>
        <w:t xml:space="preserve"> with FFSs.</w:t>
      </w:r>
    </w:p>
    <w:tbl>
      <w:tblPr>
        <w:tblStyle w:val="af3"/>
        <w:tblW w:w="0" w:type="auto"/>
        <w:tblLook w:val="04A0" w:firstRow="1" w:lastRow="0" w:firstColumn="1" w:lastColumn="0" w:noHBand="0" w:noVBand="1"/>
      </w:tblPr>
      <w:tblGrid>
        <w:gridCol w:w="9350"/>
      </w:tblGrid>
      <w:tr w:rsidR="002F0DDA">
        <w:tc>
          <w:tcPr>
            <w:tcW w:w="9350" w:type="dxa"/>
          </w:tcPr>
          <w:p w:rsidR="002F0DDA" w:rsidRDefault="00A77DDA">
            <w:pPr>
              <w:spacing w:after="0"/>
              <w:rPr>
                <w:rFonts w:ascii="Times New Roman" w:hAnsi="Times New Roman" w:cs="Times New Roman"/>
                <w:b/>
                <w:bCs/>
                <w:sz w:val="20"/>
                <w:szCs w:val="20"/>
                <w:highlight w:val="darkYellow"/>
              </w:rPr>
            </w:pPr>
            <w:bookmarkStart w:id="3" w:name="_Hlk133492071"/>
            <w:r>
              <w:rPr>
                <w:rFonts w:ascii="Times New Roman" w:hAnsi="Times New Roman" w:cs="Times New Roman"/>
                <w:b/>
                <w:bCs/>
                <w:sz w:val="20"/>
                <w:szCs w:val="20"/>
                <w:highlight w:val="darkYellow"/>
              </w:rPr>
              <w:t>Working</w:t>
            </w:r>
            <w:r>
              <w:rPr>
                <w:rFonts w:ascii="Times New Roman" w:hAnsi="Times New Roman" w:cs="Times New Roman" w:hint="eastAsia"/>
                <w:b/>
                <w:bCs/>
                <w:sz w:val="20"/>
                <w:szCs w:val="20"/>
                <w:highlight w:val="darkYellow"/>
              </w:rPr>
              <w:t xml:space="preserve"> assumption</w:t>
            </w:r>
          </w:p>
          <w:p w:rsidR="002F0DDA" w:rsidRDefault="00A77DDA">
            <w:pPr>
              <w:spacing w:after="0"/>
              <w:rPr>
                <w:rFonts w:ascii="Times New Roman" w:hAnsi="Times New Roman" w:cs="Times New Roman"/>
                <w:sz w:val="20"/>
                <w:szCs w:val="20"/>
              </w:rPr>
            </w:pPr>
            <w:r>
              <w:rPr>
                <w:rFonts w:ascii="Times New Roman" w:hAnsi="Times New Roman" w:cs="Times New Roman" w:hint="eastAsia"/>
                <w:sz w:val="20"/>
                <w:szCs w:val="20"/>
              </w:rPr>
              <w:t>For DCI-based direct indication</w:t>
            </w:r>
            <w:r>
              <w:rPr>
                <w:rFonts w:ascii="Times New Roman" w:hAnsi="Times New Roman" w:cs="Times New Roman" w:hint="eastAsia"/>
                <w:sz w:val="20"/>
                <w:szCs w:val="20"/>
              </w:rPr>
              <w:t xml:space="preserve"> in single TB scheduled by DCI,</w:t>
            </w:r>
          </w:p>
          <w:p w:rsidR="002F0DDA" w:rsidRDefault="00A77DDA">
            <w:pPr>
              <w:numPr>
                <w:ilvl w:val="0"/>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 xml:space="preserve">Indication by reusing/reinterpreting </w:t>
            </w:r>
            <w:r>
              <w:rPr>
                <w:rFonts w:ascii="Times New Roman" w:hAnsi="Times New Roman" w:cs="Times New Roman" w:hint="eastAsia"/>
                <w:iCs/>
                <w:sz w:val="20"/>
                <w:szCs w:val="20"/>
              </w:rPr>
              <w:t xml:space="preserve">HARQ-ACK related </w:t>
            </w:r>
            <w:r>
              <w:rPr>
                <w:rFonts w:ascii="Times" w:eastAsia="Batang" w:hAnsi="Times" w:cs="Times New Roman" w:hint="eastAsia"/>
                <w:sz w:val="20"/>
                <w:szCs w:val="18"/>
                <w:lang w:eastAsia="en-US"/>
              </w:rPr>
              <w:t>field in DCI</w:t>
            </w:r>
          </w:p>
          <w:p w:rsidR="002F0DDA" w:rsidRDefault="00A77DDA">
            <w:pPr>
              <w:numPr>
                <w:ilvl w:val="1"/>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 xml:space="preserve">For </w:t>
            </w:r>
            <w:proofErr w:type="spellStart"/>
            <w:r>
              <w:rPr>
                <w:rFonts w:ascii="Times New Roman" w:hAnsi="Times New Roman" w:cs="Times New Roman" w:hint="eastAsia"/>
                <w:iCs/>
                <w:sz w:val="20"/>
                <w:szCs w:val="20"/>
              </w:rPr>
              <w:t>eMTC</w:t>
            </w:r>
            <w:proofErr w:type="spellEnd"/>
            <w:r>
              <w:rPr>
                <w:rFonts w:ascii="Times New Roman" w:hAnsi="Times New Roman" w:cs="Times New Roman" w:hint="eastAsia"/>
                <w:iCs/>
                <w:sz w:val="20"/>
                <w:szCs w:val="20"/>
              </w:rPr>
              <w:t xml:space="preserve"> CE mode B, one state of </w:t>
            </w:r>
            <w:r>
              <w:rPr>
                <w:rFonts w:ascii="Times New Roman" w:hAnsi="Times New Roman" w:cs="Times New Roman"/>
                <w:iCs/>
                <w:sz w:val="20"/>
                <w:szCs w:val="20"/>
              </w:rPr>
              <w:t>“</w:t>
            </w:r>
            <w:r>
              <w:rPr>
                <w:rFonts w:ascii="Times New Roman" w:hAnsi="Times New Roman" w:cs="Times New Roman" w:hint="eastAsia"/>
                <w:iCs/>
                <w:sz w:val="20"/>
                <w:szCs w:val="20"/>
              </w:rPr>
              <w:t>HARQ-ACK resource offset</w:t>
            </w:r>
            <w:r>
              <w:rPr>
                <w:rFonts w:ascii="Times New Roman" w:hAnsi="Times New Roman" w:cs="Times New Roman"/>
                <w:iCs/>
                <w:sz w:val="20"/>
                <w:szCs w:val="20"/>
              </w:rPr>
              <w:t>”</w:t>
            </w:r>
            <w:r>
              <w:rPr>
                <w:rFonts w:ascii="Times New Roman" w:hAnsi="Times New Roman" w:cs="Times New Roman" w:hint="eastAsia"/>
                <w:iCs/>
                <w:sz w:val="20"/>
                <w:szCs w:val="20"/>
              </w:rPr>
              <w:t xml:space="preserve"> field in DCI format 6-1B is used for indication of HARQ feedback disabled, other states are used for indication of HARQ feedback enabled and corresponding HARQ-ACK resource.</w:t>
            </w:r>
          </w:p>
          <w:p w:rsidR="002F0DDA" w:rsidRDefault="00A77DDA">
            <w:pPr>
              <w:numPr>
                <w:ilvl w:val="2"/>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FFS: detailed state</w:t>
            </w:r>
          </w:p>
          <w:p w:rsidR="002F0DDA" w:rsidRDefault="00A77DDA">
            <w:pPr>
              <w:numPr>
                <w:ilvl w:val="1"/>
                <w:numId w:val="5"/>
              </w:numPr>
              <w:snapToGrid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For </w:t>
            </w:r>
            <w:proofErr w:type="spellStart"/>
            <w:r>
              <w:rPr>
                <w:rFonts w:ascii="Times New Roman" w:hAnsi="Times New Roman" w:cs="Times New Roman"/>
                <w:bCs/>
                <w:sz w:val="20"/>
                <w:szCs w:val="20"/>
              </w:rPr>
              <w:t>NBIoT</w:t>
            </w:r>
            <w:proofErr w:type="spellEnd"/>
            <w:r>
              <w:rPr>
                <w:rFonts w:ascii="Times New Roman" w:hAnsi="Times New Roman" w:cs="Times New Roman"/>
                <w:bCs/>
                <w:sz w:val="20"/>
                <w:szCs w:val="20"/>
              </w:rPr>
              <w:t>, one state of “HARQ-ACK resource” field in DCI form</w:t>
            </w:r>
            <w:r>
              <w:rPr>
                <w:rFonts w:ascii="Times New Roman" w:hAnsi="Times New Roman" w:cs="Times New Roman"/>
                <w:bCs/>
                <w:sz w:val="20"/>
                <w:szCs w:val="20"/>
              </w:rPr>
              <w:t>at N1 is used for indication of HARQ feedback disabled, other states are used for indication of HARQ feedback enabled and corresponding HARQ-ACK resource.</w:t>
            </w:r>
          </w:p>
          <w:p w:rsidR="002F0DDA" w:rsidRDefault="00A77DDA">
            <w:pPr>
              <w:numPr>
                <w:ilvl w:val="2"/>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FFS: detailed state</w:t>
            </w:r>
          </w:p>
          <w:p w:rsidR="002F0DDA" w:rsidRDefault="00A77DDA">
            <w:pPr>
              <w:numPr>
                <w:ilvl w:val="0"/>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If reusing/reinterpreting HARQ-ACK related field in DCI is also used for DCI over</w:t>
            </w:r>
            <w:r>
              <w:rPr>
                <w:rFonts w:ascii="Times New Roman" w:hAnsi="Times New Roman" w:cs="Times New Roman" w:hint="eastAsia"/>
                <w:iCs/>
                <w:sz w:val="20"/>
                <w:szCs w:val="20"/>
              </w:rPr>
              <w:t xml:space="preserve">riding </w:t>
            </w:r>
            <w:r>
              <w:rPr>
                <w:rFonts w:ascii="Times New Roman" w:hAnsi="Times New Roman" w:cs="Times New Roman"/>
                <w:iCs/>
                <w:sz w:val="20"/>
                <w:szCs w:val="20"/>
              </w:rPr>
              <w:t>scheme, the</w:t>
            </w:r>
            <w:r>
              <w:rPr>
                <w:rFonts w:ascii="Times New Roman" w:hAnsi="Times New Roman" w:cs="Times New Roman" w:hint="eastAsia"/>
                <w:iCs/>
                <w:sz w:val="20"/>
                <w:szCs w:val="20"/>
              </w:rPr>
              <w:t xml:space="preserve"> interpretation of the state can be different than for DCI-based direct indication</w:t>
            </w:r>
          </w:p>
          <w:p w:rsidR="002F0DDA" w:rsidRDefault="002F0DDA">
            <w:pPr>
              <w:numPr>
                <w:ilvl w:val="255"/>
                <w:numId w:val="0"/>
              </w:numPr>
              <w:snapToGrid w:val="0"/>
              <w:spacing w:after="0" w:line="240" w:lineRule="auto"/>
              <w:ind w:left="360"/>
              <w:rPr>
                <w:rFonts w:ascii="Times New Roman" w:hAnsi="Times New Roman" w:cs="Times New Roman"/>
                <w:iCs/>
                <w:sz w:val="20"/>
                <w:szCs w:val="20"/>
              </w:rPr>
            </w:pPr>
          </w:p>
          <w:bookmarkEnd w:id="3"/>
          <w:p w:rsidR="002F0DDA" w:rsidRDefault="00A77DDA">
            <w:pPr>
              <w:spacing w:after="0"/>
              <w:rPr>
                <w:rFonts w:ascii="Times New Roman" w:hAnsi="Times New Roman" w:cs="Times New Roman"/>
                <w:b/>
                <w:bCs/>
                <w:sz w:val="20"/>
                <w:szCs w:val="20"/>
                <w:highlight w:val="green"/>
              </w:rPr>
            </w:pPr>
            <w:r>
              <w:rPr>
                <w:rFonts w:ascii="Times New Roman" w:hAnsi="Times New Roman" w:cs="Times New Roman" w:hint="eastAsia"/>
                <w:b/>
                <w:bCs/>
                <w:sz w:val="20"/>
                <w:szCs w:val="20"/>
                <w:highlight w:val="green"/>
              </w:rPr>
              <w:t>Agreement</w:t>
            </w:r>
          </w:p>
          <w:p w:rsidR="002F0DDA" w:rsidRDefault="00A77DDA">
            <w:p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single TB scheduled by DCI, </w:t>
            </w:r>
          </w:p>
          <w:p w:rsidR="002F0DDA" w:rsidRDefault="00A77DDA">
            <w:pPr>
              <w:numPr>
                <w:ilvl w:val="0"/>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highlight w:val="darkYellow"/>
              </w:rPr>
              <w:t>Working assumption 1</w:t>
            </w:r>
            <w:r>
              <w:rPr>
                <w:rFonts w:ascii="Times New Roman" w:eastAsia="宋体" w:hAnsi="Times New Roman" w:cs="Times New Roman" w:hint="eastAsia"/>
                <w:sz w:val="20"/>
                <w:szCs w:val="20"/>
              </w:rPr>
              <w:t xml:space="preserve"> DCI based overridden indication is applied to both semi-statically HARQ disabled and enabled processes</w:t>
            </w:r>
          </w:p>
          <w:p w:rsidR="002F0DDA" w:rsidRDefault="00A77DDA">
            <w:pPr>
              <w:numPr>
                <w:ilvl w:val="1"/>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For DCI based overridden indication, adopt indication by reusing/reinterpreting HARQ-ACK related field in DCI</w:t>
            </w:r>
          </w:p>
          <w:p w:rsidR="002F0DDA" w:rsidRDefault="00A77DDA">
            <w:pPr>
              <w:numPr>
                <w:ilvl w:val="2"/>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w:t>
            </w:r>
            <w:proofErr w:type="spellStart"/>
            <w:r>
              <w:rPr>
                <w:rFonts w:ascii="Times New Roman" w:eastAsia="宋体" w:hAnsi="Times New Roman" w:cs="Times New Roman" w:hint="eastAsia"/>
                <w:sz w:val="20"/>
                <w:szCs w:val="20"/>
              </w:rPr>
              <w:t>eMTC</w:t>
            </w:r>
            <w:proofErr w:type="spellEnd"/>
            <w:r>
              <w:rPr>
                <w:rFonts w:ascii="Times New Roman" w:eastAsia="宋体" w:hAnsi="Times New Roman" w:cs="Times New Roman" w:hint="eastAsia"/>
                <w:sz w:val="20"/>
                <w:szCs w:val="20"/>
              </w:rPr>
              <w:t xml:space="preserve"> CE mode B, </w:t>
            </w:r>
            <w:r>
              <w:rPr>
                <w:rFonts w:ascii="Times New Roman" w:eastAsia="宋体" w:hAnsi="Times New Roman" w:cs="Times New Roman"/>
                <w:sz w:val="20"/>
                <w:szCs w:val="20"/>
              </w:rPr>
              <w:t>“</w:t>
            </w:r>
            <w:r>
              <w:rPr>
                <w:rFonts w:ascii="Times New Roman" w:eastAsia="宋体" w:hAnsi="Times New Roman" w:cs="Times New Roman" w:hint="eastAsia"/>
                <w:sz w:val="20"/>
                <w:szCs w:val="20"/>
              </w:rPr>
              <w:t>HARQ-ACK resource off</w:t>
            </w:r>
            <w:r>
              <w:rPr>
                <w:rFonts w:ascii="Times New Roman" w:eastAsia="宋体" w:hAnsi="Times New Roman" w:cs="Times New Roman" w:hint="eastAsia"/>
                <w:sz w:val="20"/>
                <w:szCs w:val="20"/>
              </w:rPr>
              <w:t>set</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field in DCI format 6-1B is used for indication of maintaining/reversing the HARQ feedback enable/disable for the corresponding transmission from per-HARQ process RRC configuration and corresponding HARQ-ACK resource in case of indication of HARQ feed</w:t>
            </w:r>
            <w:r>
              <w:rPr>
                <w:rFonts w:ascii="Times New Roman" w:eastAsia="宋体" w:hAnsi="Times New Roman" w:cs="Times New Roman" w:hint="eastAsia"/>
                <w:sz w:val="20"/>
                <w:szCs w:val="20"/>
              </w:rPr>
              <w:t>back enabled.</w:t>
            </w:r>
          </w:p>
          <w:p w:rsidR="002F0DDA" w:rsidRDefault="00A77DDA">
            <w:pPr>
              <w:numPr>
                <w:ilvl w:val="3"/>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HARQ feedback disabled is reversed to enabled in case of any states other than state A in </w:t>
            </w:r>
            <w:r>
              <w:rPr>
                <w:rFonts w:ascii="Times New Roman" w:eastAsia="宋体" w:hAnsi="Times New Roman" w:cs="Times New Roman"/>
                <w:sz w:val="20"/>
                <w:szCs w:val="20"/>
              </w:rPr>
              <w:t>“</w:t>
            </w:r>
            <w:r>
              <w:rPr>
                <w:rFonts w:ascii="Times New Roman" w:eastAsia="宋体" w:hAnsi="Times New Roman" w:cs="Times New Roman" w:hint="eastAsia"/>
                <w:sz w:val="20"/>
                <w:szCs w:val="20"/>
              </w:rPr>
              <w:t>HARQ-ACK resource offset</w:t>
            </w:r>
            <w:r>
              <w:rPr>
                <w:rFonts w:ascii="Times New Roman" w:eastAsia="宋体" w:hAnsi="Times New Roman" w:cs="Times New Roman"/>
                <w:sz w:val="20"/>
                <w:szCs w:val="20"/>
              </w:rPr>
              <w:t>”</w:t>
            </w:r>
            <w:r>
              <w:rPr>
                <w:rFonts w:ascii="Times New Roman" w:eastAsia="宋体" w:hAnsi="Times New Roman" w:cs="Times New Roman" w:hint="eastAsia"/>
                <w:sz w:val="20"/>
                <w:szCs w:val="20"/>
              </w:rPr>
              <w:t>, otherwise is maintained as disabled.</w:t>
            </w:r>
          </w:p>
          <w:p w:rsidR="002F0DDA" w:rsidRDefault="00A77DDA">
            <w:pPr>
              <w:numPr>
                <w:ilvl w:val="3"/>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HARQ feedback enabled is maintained in case of any states other than state A in </w:t>
            </w:r>
            <w:r>
              <w:rPr>
                <w:rFonts w:ascii="Times New Roman" w:eastAsia="宋体" w:hAnsi="Times New Roman" w:cs="Times New Roman"/>
                <w:sz w:val="20"/>
                <w:szCs w:val="20"/>
              </w:rPr>
              <w:t>“</w:t>
            </w:r>
            <w:r>
              <w:rPr>
                <w:rFonts w:ascii="Times New Roman" w:eastAsia="宋体" w:hAnsi="Times New Roman" w:cs="Times New Roman" w:hint="eastAsia"/>
                <w:sz w:val="20"/>
                <w:szCs w:val="20"/>
              </w:rPr>
              <w:t>HARQ-ACK resource offset</w:t>
            </w:r>
            <w:r>
              <w:rPr>
                <w:rFonts w:ascii="Times New Roman" w:eastAsia="宋体" w:hAnsi="Times New Roman" w:cs="Times New Roman"/>
                <w:sz w:val="20"/>
                <w:szCs w:val="20"/>
              </w:rPr>
              <w:t>”</w:t>
            </w:r>
            <w:r>
              <w:rPr>
                <w:rFonts w:ascii="Times New Roman" w:eastAsia="宋体" w:hAnsi="Times New Roman" w:cs="Times New Roman" w:hint="eastAsia"/>
                <w:sz w:val="20"/>
                <w:szCs w:val="20"/>
              </w:rPr>
              <w:t>, otherwise is reversed to disabled.</w:t>
            </w:r>
          </w:p>
          <w:p w:rsidR="002F0DDA" w:rsidRDefault="00A77DDA">
            <w:pPr>
              <w:numPr>
                <w:ilvl w:val="0"/>
                <w:numId w:val="6"/>
              </w:numPr>
              <w:snapToGrid w:val="0"/>
              <w:spacing w:after="0" w:line="240" w:lineRule="auto"/>
              <w:ind w:leftChars="1300" w:left="3280"/>
              <w:rPr>
                <w:rFonts w:ascii="Times New Roman" w:eastAsia="宋体" w:hAnsi="Times New Roman" w:cs="Times New Roman"/>
                <w:sz w:val="20"/>
                <w:szCs w:val="20"/>
              </w:rPr>
            </w:pPr>
            <w:r>
              <w:rPr>
                <w:rFonts w:ascii="Times New Roman" w:eastAsia="宋体" w:hAnsi="Times New Roman" w:cs="Times New Roman" w:hint="eastAsia"/>
                <w:sz w:val="20"/>
                <w:szCs w:val="20"/>
              </w:rPr>
              <w:t>FFS: detailed state A, and whether this state A is different across different UEs</w:t>
            </w:r>
          </w:p>
          <w:p w:rsidR="002F0DDA" w:rsidRDefault="00A77DDA">
            <w:pPr>
              <w:numPr>
                <w:ilvl w:val="2"/>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w:t>
            </w:r>
            <w:proofErr w:type="spellStart"/>
            <w:r>
              <w:rPr>
                <w:rFonts w:ascii="Times New Roman" w:eastAsia="宋体" w:hAnsi="Times New Roman" w:cs="Times New Roman" w:hint="eastAsia"/>
                <w:sz w:val="20"/>
                <w:szCs w:val="20"/>
              </w:rPr>
              <w:t>NBIoT</w:t>
            </w:r>
            <w:proofErr w:type="spellEnd"/>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w:t>
            </w:r>
            <w:r>
              <w:rPr>
                <w:rFonts w:ascii="Times New Roman" w:eastAsia="宋体" w:hAnsi="Times New Roman" w:cs="Times New Roman" w:hint="eastAsia"/>
                <w:sz w:val="20"/>
                <w:szCs w:val="20"/>
              </w:rPr>
              <w:t>HARQ-ACK resource</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field in DCI format N1 is used for indication of maintaining/reversing the HARQ f</w:t>
            </w:r>
            <w:r>
              <w:rPr>
                <w:rFonts w:ascii="Times New Roman" w:eastAsia="宋体" w:hAnsi="Times New Roman" w:cs="Times New Roman" w:hint="eastAsia"/>
                <w:sz w:val="20"/>
                <w:szCs w:val="20"/>
              </w:rPr>
              <w:t xml:space="preserve">eedback enable/disable for the corresponding </w:t>
            </w:r>
            <w:r>
              <w:rPr>
                <w:rFonts w:ascii="Times New Roman" w:eastAsia="宋体" w:hAnsi="Times New Roman" w:cs="Times New Roman" w:hint="eastAsia"/>
                <w:sz w:val="20"/>
                <w:szCs w:val="20"/>
              </w:rPr>
              <w:lastRenderedPageBreak/>
              <w:t>transmission from per-HARQ process RRC configuration and corresponding HARQ-ACK resource in case of indication of HARQ feedback enabled.</w:t>
            </w:r>
          </w:p>
          <w:p w:rsidR="002F0DDA" w:rsidRDefault="00A77DDA">
            <w:pPr>
              <w:numPr>
                <w:ilvl w:val="3"/>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same DCI indication functionality as </w:t>
            </w:r>
            <w:proofErr w:type="spellStart"/>
            <w:r>
              <w:rPr>
                <w:rFonts w:ascii="Times New Roman" w:eastAsia="宋体" w:hAnsi="Times New Roman" w:cs="Times New Roman" w:hint="eastAsia"/>
                <w:sz w:val="20"/>
                <w:szCs w:val="20"/>
              </w:rPr>
              <w:t>eMTC</w:t>
            </w:r>
            <w:proofErr w:type="spellEnd"/>
            <w:r>
              <w:rPr>
                <w:rFonts w:ascii="Times New Roman" w:eastAsia="宋体" w:hAnsi="Times New Roman" w:cs="Times New Roman" w:hint="eastAsia"/>
                <w:sz w:val="20"/>
                <w:szCs w:val="20"/>
              </w:rPr>
              <w:t xml:space="preserve"> is adopted.</w:t>
            </w:r>
          </w:p>
          <w:p w:rsidR="002F0DDA" w:rsidRDefault="00A77DDA">
            <w:pPr>
              <w:numPr>
                <w:ilvl w:val="0"/>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highlight w:val="darkYellow"/>
              </w:rPr>
              <w:t>Working assumpti</w:t>
            </w:r>
            <w:r>
              <w:rPr>
                <w:rFonts w:ascii="Times New Roman" w:eastAsia="宋体" w:hAnsi="Times New Roman" w:cs="Times New Roman" w:hint="eastAsia"/>
                <w:sz w:val="20"/>
                <w:szCs w:val="20"/>
                <w:highlight w:val="darkYellow"/>
              </w:rPr>
              <w:t>on 2</w:t>
            </w:r>
            <w:r>
              <w:rPr>
                <w:rFonts w:ascii="Times New Roman" w:eastAsia="宋体" w:hAnsi="Times New Roman" w:cs="Times New Roman" w:hint="eastAsia"/>
                <w:sz w:val="20"/>
                <w:szCs w:val="20"/>
              </w:rPr>
              <w:t xml:space="preserve"> For Option 1 + Option 3 DCI based overridden mechanism, for a HARQ process configured as HARQ feedback disabled by per-HARQ process bitmap signaling and further reversed to HARQ feedback enabled by DCI, the </w:t>
            </w:r>
            <w:proofErr w:type="spellStart"/>
            <w:r>
              <w:rPr>
                <w:rFonts w:ascii="Times New Roman" w:eastAsia="宋体" w:hAnsi="Times New Roman" w:cs="Times New Roman" w:hint="eastAsia"/>
                <w:sz w:val="20"/>
                <w:szCs w:val="20"/>
              </w:rPr>
              <w:t>NBIoT</w:t>
            </w:r>
            <w:proofErr w:type="spellEnd"/>
            <w:r>
              <w:rPr>
                <w:rFonts w:ascii="Times New Roman" w:eastAsia="宋体" w:hAnsi="Times New Roman" w:cs="Times New Roman" w:hint="eastAsia"/>
                <w:sz w:val="20"/>
                <w:szCs w:val="20"/>
              </w:rPr>
              <w:t xml:space="preserve"> UE does not wait for an RTT+3ms (i.e.,</w:t>
            </w:r>
            <w:r>
              <w:rPr>
                <w:rFonts w:ascii="Times New Roman" w:eastAsia="宋体" w:hAnsi="Times New Roman" w:cs="Times New Roman" w:hint="eastAsia"/>
                <w:sz w:val="20"/>
                <w:szCs w:val="20"/>
              </w:rPr>
              <w:t xml:space="preserve"> till subframe n+Kmac+3 in TS36.213 section 16.6) before monitoring NPDCCH for the same HARQ process (or monitoring any NPDCCH for the case of single HARQ process configuration). </w:t>
            </w:r>
          </w:p>
          <w:p w:rsidR="002F0DDA" w:rsidRDefault="00A77DDA">
            <w:pPr>
              <w:numPr>
                <w:ilvl w:val="0"/>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Send </w:t>
            </w:r>
            <w:proofErr w:type="gramStart"/>
            <w:r>
              <w:rPr>
                <w:rFonts w:ascii="Times New Roman" w:eastAsia="宋体" w:hAnsi="Times New Roman" w:cs="Times New Roman" w:hint="eastAsia"/>
                <w:sz w:val="20"/>
                <w:szCs w:val="20"/>
              </w:rPr>
              <w:t>an</w:t>
            </w:r>
            <w:proofErr w:type="gramEnd"/>
            <w:r>
              <w:rPr>
                <w:rFonts w:ascii="Times New Roman" w:eastAsia="宋体" w:hAnsi="Times New Roman" w:cs="Times New Roman" w:hint="eastAsia"/>
                <w:sz w:val="20"/>
                <w:szCs w:val="20"/>
              </w:rPr>
              <w:t xml:space="preserve"> LS to RAN2 with the following contents:</w:t>
            </w:r>
          </w:p>
          <w:p w:rsidR="002F0DDA" w:rsidRDefault="00A77DDA">
            <w:pPr>
              <w:numPr>
                <w:ilvl w:val="1"/>
                <w:numId w:val="5"/>
              </w:numPr>
              <w:snapToGrid w:val="0"/>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RAN1 respectfully ask RAN2 f</w:t>
            </w:r>
            <w:r>
              <w:rPr>
                <w:rFonts w:ascii="Times New Roman" w:eastAsia="宋体" w:hAnsi="Times New Roman" w:cs="Times New Roman" w:hint="eastAsia"/>
                <w:sz w:val="20"/>
                <w:szCs w:val="20"/>
              </w:rPr>
              <w:t>or the feasibility of Working assumption 2 (</w:t>
            </w:r>
            <w:proofErr w:type="gramStart"/>
            <w:r>
              <w:rPr>
                <w:rFonts w:ascii="Times New Roman" w:eastAsia="宋体" w:hAnsi="Times New Roman" w:cs="Times New Roman" w:hint="eastAsia"/>
                <w:sz w:val="20"/>
                <w:szCs w:val="20"/>
              </w:rPr>
              <w:t>taking into account</w:t>
            </w:r>
            <w:proofErr w:type="gramEnd"/>
            <w:r>
              <w:rPr>
                <w:rFonts w:ascii="Times New Roman" w:eastAsia="宋体" w:hAnsi="Times New Roman" w:cs="Times New Roman" w:hint="eastAsia"/>
                <w:sz w:val="20"/>
                <w:szCs w:val="20"/>
              </w:rPr>
              <w:t xml:space="preserve"> potential RAN2 spec impact).</w:t>
            </w:r>
          </w:p>
        </w:tc>
      </w:tr>
    </w:tbl>
    <w:p w:rsidR="002F0DDA" w:rsidRDefault="00A77DDA">
      <w:pPr>
        <w:numPr>
          <w:ilvl w:val="3"/>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In NB-IoT, in order to avoid DL/UL resource fragment and increasing transmission delay, </w:t>
      </w:r>
    </w:p>
    <w:p w:rsidR="002F0DDA" w:rsidRDefault="00A77DDA">
      <w:pPr>
        <w:pStyle w:val="af7"/>
        <w:numPr>
          <w:ilvl w:val="0"/>
          <w:numId w:val="7"/>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F</w:t>
      </w:r>
      <w:r>
        <w:rPr>
          <w:rFonts w:ascii="Times New Roman" w:eastAsia="宋体" w:hAnsi="Times New Roman" w:cs="Times New Roman" w:hint="eastAsia"/>
          <w:sz w:val="20"/>
          <w:szCs w:val="20"/>
        </w:rPr>
        <w:t>or the frequency domain resource configuration both for 3.75kHz and 15kHz subcarrier spacing, considering packing of multiple ACK/NACK resources with the resource for multi-tone data transmission such as 6-tone/3-tone and with NB-PRACH resource with 24 sub</w:t>
      </w:r>
      <w:r>
        <w:rPr>
          <w:rFonts w:ascii="Times New Roman" w:eastAsia="宋体" w:hAnsi="Times New Roman" w:cs="Times New Roman" w:hint="eastAsia"/>
          <w:sz w:val="20"/>
          <w:szCs w:val="20"/>
        </w:rPr>
        <w:t xml:space="preserve">carriers/36 subcarriers, the number of ACK/NACK resource is allocated to consecutive subcarriers with small offset. Moreover, considering the multiplexing with large NB-PRACH </w:t>
      </w:r>
      <w:r w:rsidR="009B7CD7">
        <w:rPr>
          <w:rFonts w:ascii="Times New Roman" w:eastAsia="宋体" w:hAnsi="Times New Roman" w:cs="Times New Roman"/>
          <w:sz w:val="20"/>
          <w:szCs w:val="20"/>
        </w:rPr>
        <w:t>resource (</w:t>
      </w:r>
      <w:r>
        <w:rPr>
          <w:rFonts w:ascii="Times New Roman" w:eastAsia="宋体" w:hAnsi="Times New Roman" w:cs="Times New Roman" w:hint="eastAsia"/>
          <w:sz w:val="20"/>
          <w:szCs w:val="20"/>
        </w:rPr>
        <w:t>e.g., 36 subcarriers</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subcarriers for ACK/NACK resource was designed to be closed to edge of NB-IoT system band. Meanwhile, considering some cases where the network may schedule both 15 kHz and 3.75 kHz A/N resource</w:t>
      </w:r>
      <w:r>
        <w:rPr>
          <w:rFonts w:ascii="Times New Roman" w:eastAsia="宋体" w:hAnsi="Times New Roman" w:cs="Times New Roman" w:hint="eastAsia"/>
          <w:sz w:val="20"/>
          <w:szCs w:val="20"/>
        </w:rPr>
        <w:t xml:space="preserve"> in the same subframes, the starting frequency subcarrier for 15 kHz is </w:t>
      </w:r>
      <w:r>
        <w:rPr>
          <w:rFonts w:ascii="Times New Roman" w:eastAsia="宋体" w:hAnsi="Times New Roman" w:cs="Times New Roman"/>
          <w:sz w:val="20"/>
          <w:szCs w:val="20"/>
        </w:rPr>
        <w:t>“</w:t>
      </w:r>
      <w:r>
        <w:rPr>
          <w:rFonts w:ascii="Times New Roman" w:eastAsia="宋体" w:hAnsi="Times New Roman" w:cs="Times New Roman" w:hint="eastAsia"/>
          <w:sz w:val="20"/>
          <w:szCs w:val="20"/>
        </w:rPr>
        <w:t>0</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and the starting frequency subcarrier for 3.75 kHz is </w:t>
      </w:r>
      <w:r>
        <w:rPr>
          <w:rFonts w:ascii="Times New Roman" w:eastAsia="宋体" w:hAnsi="Times New Roman" w:cs="Times New Roman"/>
          <w:sz w:val="20"/>
          <w:szCs w:val="20"/>
        </w:rPr>
        <w:t>“</w:t>
      </w:r>
      <w:r>
        <w:rPr>
          <w:rFonts w:ascii="Times New Roman" w:eastAsia="宋体" w:hAnsi="Times New Roman" w:cs="Times New Roman" w:hint="eastAsia"/>
          <w:sz w:val="20"/>
          <w:szCs w:val="20"/>
        </w:rPr>
        <w:t>45</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such that A/N resources for different subcarrier spacing can be separated in frequency domain</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_Ref25304 \r \h </w:instrText>
      </w:r>
      <w:r>
        <w:rPr>
          <w:rFonts w:ascii="Times New Roman" w:eastAsia="宋体" w:hAnsi="Times New Roman" w:cs="Times New Roman"/>
          <w:sz w:val="20"/>
          <w:szCs w:val="20"/>
        </w:rPr>
        <w:instrText xml:space="preserve"> \* MER</w:instrText>
      </w:r>
      <w:r>
        <w:rPr>
          <w:rFonts w:ascii="Times New Roman" w:eastAsia="宋体" w:hAnsi="Times New Roman" w:cs="Times New Roman"/>
          <w:sz w:val="20"/>
          <w:szCs w:val="20"/>
        </w:rPr>
        <w:instrText xml:space="preserve">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8245C1">
        <w:rPr>
          <w:rFonts w:ascii="Times New Roman" w:eastAsia="宋体" w:hAnsi="Times New Roman" w:cs="Times New Roman"/>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And setting A/N resources at edge of the band allows the maximum number of consecutive subcarriers for NPUSCH transmission</w:t>
      </w:r>
      <w:r w:rsidR="00B27659">
        <w:rPr>
          <w:rFonts w:ascii="Times New Roman" w:eastAsia="宋体" w:hAnsi="Times New Roman" w:cs="Times New Roman" w:hint="eastAsia"/>
          <w:sz w:val="20"/>
          <w:szCs w:val="20"/>
        </w:rPr>
        <w:t>.</w:t>
      </w:r>
    </w:p>
    <w:p w:rsidR="002F0DDA" w:rsidRDefault="00A77DDA">
      <w:pPr>
        <w:pStyle w:val="af7"/>
        <w:numPr>
          <w:ilvl w:val="0"/>
          <w:numId w:val="7"/>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size of resource unit for A/N transmission is defined as 2 </w:t>
      </w:r>
      <w:proofErr w:type="spellStart"/>
      <w:r>
        <w:rPr>
          <w:rFonts w:ascii="Times New Roman" w:eastAsia="宋体" w:hAnsi="Times New Roman" w:cs="Times New Roman" w:hint="eastAsia"/>
          <w:sz w:val="20"/>
          <w:szCs w:val="20"/>
        </w:rPr>
        <w:t>ms</w:t>
      </w:r>
      <w:proofErr w:type="spellEnd"/>
      <w:r>
        <w:rPr>
          <w:rFonts w:ascii="Times New Roman" w:eastAsia="宋体" w:hAnsi="Times New Roman" w:cs="Times New Roman" w:hint="eastAsia"/>
          <w:sz w:val="20"/>
          <w:szCs w:val="20"/>
        </w:rPr>
        <w:t xml:space="preserve"> for 15 kHz single tone and 8 </w:t>
      </w:r>
      <w:proofErr w:type="spellStart"/>
      <w:r>
        <w:rPr>
          <w:rFonts w:ascii="Times New Roman" w:eastAsia="宋体" w:hAnsi="Times New Roman" w:cs="Times New Roman" w:hint="eastAsia"/>
          <w:sz w:val="20"/>
          <w:szCs w:val="20"/>
        </w:rPr>
        <w:t>ms</w:t>
      </w:r>
      <w:proofErr w:type="spellEnd"/>
      <w:r>
        <w:rPr>
          <w:rFonts w:ascii="Times New Roman" w:eastAsia="宋体" w:hAnsi="Times New Roman" w:cs="Times New Roman" w:hint="eastAsia"/>
          <w:sz w:val="20"/>
          <w:szCs w:val="20"/>
        </w:rPr>
        <w:t xml:space="preserve"> for 3.75 kHz single tone transmission considering the use of repetitive transmission</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_Ref25801 \r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8245C1">
        <w:rPr>
          <w:rFonts w:ascii="Times New Roman" w:eastAsia="宋体" w:hAnsi="Times New Roman" w:cs="Times New Roman"/>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However, for the time domain resource configuration of 15kHz subcarrier spacing, odd and even numbers for the time offset of ACK/NACK feedback are introduced to keep ACK/NACK transmission alignment to avoid resource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packing </w:t>
      </w:r>
      <w:r>
        <w:rPr>
          <w:rFonts w:ascii="Times New Roman" w:eastAsia="宋体" w:hAnsi="Times New Roman" w:cs="Times New Roman" w:hint="eastAsia"/>
          <w:sz w:val="20"/>
          <w:szCs w:val="20"/>
        </w:rPr>
        <w:t>issues, where odd terms are less than even terms</w:t>
      </w:r>
      <w:r w:rsidR="00E50892">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_Ref25856 \r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8245C1">
        <w:rPr>
          <w:rFonts w:ascii="Times New Roman" w:eastAsia="宋体" w:hAnsi="Times New Roman" w:cs="Times New Roman"/>
          <w:sz w:val="20"/>
          <w:szCs w:val="20"/>
        </w:rPr>
        <w:t>[5]</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Fo</w:t>
      </w:r>
      <w:r>
        <w:rPr>
          <w:rFonts w:ascii="Times New Roman" w:eastAsia="宋体" w:hAnsi="Times New Roman" w:cs="Times New Roman" w:hint="eastAsia"/>
          <w:sz w:val="20"/>
          <w:szCs w:val="20"/>
        </w:rPr>
        <w:t>r the time domain resource configuration of 3.75kHz subcarrier spacing, the time offsets are {0ms, 8ms}.</w:t>
      </w:r>
    </w:p>
    <w:p w:rsidR="002F0DDA" w:rsidRDefault="00A77DDA">
      <w:pPr>
        <w:pStyle w:val="af7"/>
        <w:numPr>
          <w:ilvl w:val="0"/>
          <w:numId w:val="7"/>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Based on above considerations, in legacy specification</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_Ref26000 \r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8245C1">
        <w:rPr>
          <w:rFonts w:ascii="Times New Roman" w:eastAsia="宋体" w:hAnsi="Times New Roman" w:cs="Times New Roman"/>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16 states that have been already defined in the ACK/NACK resource field indicate </w:t>
      </w:r>
      <w:r>
        <w:rPr>
          <w:rFonts w:ascii="Times New Roman" w:eastAsia="宋体" w:hAnsi="Times New Roman" w:cs="Times New Roman" w:hint="eastAsia"/>
          <w:sz w:val="20"/>
          <w:szCs w:val="20"/>
        </w:rPr>
        <w:t>the subcarrier index and time offset from the end of NPDSCH to the beginning of NPUSCH carrying ACK/NACK response. For example, the starting frequency su</w:t>
      </w:r>
      <w:r>
        <w:rPr>
          <w:rFonts w:ascii="Times New Roman" w:eastAsia="宋体" w:hAnsi="Times New Roman" w:cs="Times New Roman" w:hint="eastAsia"/>
          <w:sz w:val="20"/>
          <w:szCs w:val="20"/>
        </w:rPr>
        <w:t xml:space="preserve">bcarrier </w:t>
      </w:r>
      <w:r>
        <w:rPr>
          <w:rFonts w:ascii="Times New Roman" w:eastAsia="宋体" w:hAnsi="Times New Roman" w:cs="Times New Roman"/>
          <w:sz w:val="20"/>
          <w:szCs w:val="20"/>
        </w:rPr>
        <w:t>“</w:t>
      </w:r>
      <w:r>
        <w:rPr>
          <w:rFonts w:ascii="Times New Roman" w:eastAsia="宋体" w:hAnsi="Times New Roman" w:cs="Times New Roman" w:hint="eastAsia"/>
          <w:sz w:val="20"/>
          <w:szCs w:val="20"/>
        </w:rPr>
        <w:t>0</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and time location </w:t>
      </w:r>
      <w:r>
        <w:rPr>
          <w:rFonts w:ascii="Times New Roman" w:eastAsia="宋体" w:hAnsi="Times New Roman" w:cs="Times New Roman"/>
          <w:sz w:val="20"/>
          <w:szCs w:val="20"/>
        </w:rPr>
        <w:t>“</w:t>
      </w:r>
      <w:r>
        <w:rPr>
          <w:rFonts w:ascii="Times New Roman" w:eastAsia="宋体" w:hAnsi="Times New Roman" w:cs="Times New Roman" w:hint="eastAsia"/>
          <w:sz w:val="20"/>
          <w:szCs w:val="20"/>
        </w:rPr>
        <w:t>13</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for 15 kHz corresponds to </w:t>
      </w:r>
      <w:r>
        <w:rPr>
          <w:rFonts w:ascii="Times New Roman" w:eastAsia="宋体" w:hAnsi="Times New Roman" w:cs="Times New Roman"/>
          <w:sz w:val="20"/>
          <w:szCs w:val="20"/>
        </w:rPr>
        <w:t>“ACK/NACK resource field 0”</w:t>
      </w:r>
      <w:r>
        <w:rPr>
          <w:rFonts w:ascii="Times New Roman" w:eastAsia="宋体" w:hAnsi="Times New Roman" w:cs="Times New Roman" w:hint="eastAsia"/>
          <w:sz w:val="20"/>
          <w:szCs w:val="20"/>
        </w:rPr>
        <w:t xml:space="preserve">; the starting frequency subcarrier </w:t>
      </w:r>
      <w:r>
        <w:rPr>
          <w:rFonts w:ascii="Times New Roman" w:eastAsia="宋体" w:hAnsi="Times New Roman" w:cs="Times New Roman"/>
          <w:sz w:val="20"/>
          <w:szCs w:val="20"/>
        </w:rPr>
        <w:t>“</w:t>
      </w:r>
      <w:r>
        <w:rPr>
          <w:rFonts w:ascii="Times New Roman" w:eastAsia="宋体" w:hAnsi="Times New Roman" w:cs="Times New Roman" w:hint="eastAsia"/>
          <w:sz w:val="20"/>
          <w:szCs w:val="20"/>
        </w:rPr>
        <w:t>45</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and time location </w:t>
      </w:r>
      <w:r>
        <w:rPr>
          <w:rFonts w:ascii="Times New Roman" w:eastAsia="宋体" w:hAnsi="Times New Roman" w:cs="Times New Roman"/>
          <w:sz w:val="20"/>
          <w:szCs w:val="20"/>
        </w:rPr>
        <w:t>“</w:t>
      </w:r>
      <w:r>
        <w:rPr>
          <w:rFonts w:ascii="Times New Roman" w:eastAsia="宋体" w:hAnsi="Times New Roman" w:cs="Times New Roman" w:hint="eastAsia"/>
          <w:sz w:val="20"/>
          <w:szCs w:val="20"/>
        </w:rPr>
        <w:t>21</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for 3.75 kHz corresponds to </w:t>
      </w:r>
      <w:r>
        <w:rPr>
          <w:rFonts w:ascii="Times New Roman" w:eastAsia="宋体" w:hAnsi="Times New Roman" w:cs="Times New Roman"/>
          <w:sz w:val="20"/>
          <w:szCs w:val="20"/>
        </w:rPr>
        <w:t>“</w:t>
      </w:r>
      <w:r>
        <w:rPr>
          <w:rFonts w:ascii="Times New Roman" w:eastAsia="宋体" w:hAnsi="Times New Roman" w:cs="Times New Roman" w:hint="eastAsia"/>
          <w:sz w:val="20"/>
          <w:szCs w:val="20"/>
        </w:rPr>
        <w:t>ACK/NACK resource field 15</w:t>
      </w:r>
      <w:r>
        <w:rPr>
          <w:rFonts w:ascii="Times New Roman" w:eastAsia="宋体" w:hAnsi="Times New Roman" w:cs="Times New Roman"/>
          <w:sz w:val="20"/>
          <w:szCs w:val="20"/>
        </w:rPr>
        <w:t>”</w:t>
      </w:r>
      <w:r>
        <w:rPr>
          <w:rFonts w:ascii="Times New Roman" w:eastAsia="宋体" w:hAnsi="Times New Roman" w:cs="Times New Roman" w:hint="eastAsia"/>
          <w:sz w:val="20"/>
          <w:szCs w:val="20"/>
        </w:rPr>
        <w:t>.</w:t>
      </w:r>
    </w:p>
    <w:p w:rsidR="002F0DDA" w:rsidRPr="00ED26AE" w:rsidRDefault="003472C2">
      <w:pPr>
        <w:numPr>
          <w:ilvl w:val="3"/>
          <w:numId w:val="0"/>
        </w:numPr>
        <w:spacing w:beforeLines="50" w:before="120" w:afterLines="50" w:after="120" w:line="240" w:lineRule="auto"/>
        <w:jc w:val="both"/>
        <w:rPr>
          <w:rFonts w:ascii="Times New Roman" w:eastAsia="宋体" w:hAnsi="Times New Roman" w:cs="Times New Roman"/>
          <w:sz w:val="20"/>
          <w:szCs w:val="20"/>
        </w:rPr>
      </w:pPr>
      <w:bookmarkStart w:id="4" w:name="_GoBack"/>
      <w:r w:rsidRPr="00ED26AE">
        <w:rPr>
          <w:rFonts w:ascii="Times New Roman" w:eastAsia="宋体" w:hAnsi="Times New Roman" w:cs="Times New Roman"/>
          <w:sz w:val="20"/>
          <w:szCs w:val="20"/>
        </w:rPr>
        <w:t xml:space="preserve">Regarding on </w:t>
      </w:r>
      <w:r w:rsidR="00A77DDA" w:rsidRPr="00ED26AE">
        <w:rPr>
          <w:rFonts w:ascii="Times New Roman" w:eastAsia="宋体" w:hAnsi="Times New Roman" w:cs="Times New Roman"/>
          <w:sz w:val="20"/>
          <w:szCs w:val="20"/>
        </w:rPr>
        <w:t xml:space="preserve">how to implement DCI based </w:t>
      </w:r>
      <w:r w:rsidR="00A77DDA" w:rsidRPr="00ED26AE">
        <w:rPr>
          <w:rFonts w:ascii="Times New Roman" w:eastAsia="宋体" w:hAnsi="Times New Roman" w:cs="Times New Roman"/>
          <w:sz w:val="20"/>
          <w:szCs w:val="20"/>
        </w:rPr>
        <w:t>overridden/direct indication</w:t>
      </w:r>
      <w:r w:rsidR="00A77DDA" w:rsidRPr="00ED26AE">
        <w:rPr>
          <w:rFonts w:ascii="Times New Roman" w:eastAsia="宋体" w:hAnsi="Times New Roman" w:cs="Times New Roman"/>
          <w:sz w:val="20"/>
          <w:szCs w:val="20"/>
        </w:rPr>
        <w:t xml:space="preserve"> for NB-IoT</w:t>
      </w:r>
      <w:r w:rsidR="005E5C58" w:rsidRPr="00ED26AE">
        <w:rPr>
          <w:rFonts w:ascii="Times New Roman" w:eastAsia="宋体" w:hAnsi="Times New Roman" w:cs="Times New Roman"/>
          <w:sz w:val="20"/>
          <w:szCs w:val="20"/>
        </w:rPr>
        <w:t xml:space="preserve"> with considering the re-interpretation of existing field, the logic of original design </w:t>
      </w:r>
      <w:r w:rsidR="00A77DDA" w:rsidRPr="00ED26AE">
        <w:rPr>
          <w:rFonts w:ascii="Times New Roman" w:eastAsia="宋体" w:hAnsi="Times New Roman" w:cs="Times New Roman"/>
          <w:sz w:val="20"/>
          <w:szCs w:val="20"/>
        </w:rPr>
        <w:t xml:space="preserve">should be </w:t>
      </w:r>
      <w:r w:rsidR="005E5C58" w:rsidRPr="00ED26AE">
        <w:rPr>
          <w:rFonts w:ascii="Times New Roman" w:eastAsia="宋体" w:hAnsi="Times New Roman" w:cs="Times New Roman"/>
          <w:sz w:val="20"/>
          <w:szCs w:val="20"/>
        </w:rPr>
        <w:t>kept</w:t>
      </w:r>
      <w:r w:rsidR="00A77DDA" w:rsidRPr="00ED26AE">
        <w:rPr>
          <w:rFonts w:ascii="Times New Roman" w:eastAsia="宋体" w:hAnsi="Times New Roman" w:cs="Times New Roman"/>
          <w:sz w:val="20"/>
          <w:szCs w:val="20"/>
        </w:rPr>
        <w:t>. That</w:t>
      </w:r>
      <w:r w:rsidR="00A77DDA" w:rsidRPr="00ED26AE">
        <w:rPr>
          <w:rFonts w:ascii="Times New Roman" w:eastAsia="宋体" w:hAnsi="Times New Roman" w:cs="Times New Roman"/>
          <w:sz w:val="20"/>
          <w:szCs w:val="20"/>
        </w:rPr>
        <w:t xml:space="preserve"> is, the A/N resource should be set at the edge of band.</w:t>
      </w:r>
    </w:p>
    <w:p w:rsidR="002F0DDA" w:rsidRPr="00ED26AE" w:rsidRDefault="00A77DDA">
      <w:pPr>
        <w:pStyle w:val="af7"/>
        <w:numPr>
          <w:ilvl w:val="0"/>
          <w:numId w:val="8"/>
        </w:numPr>
        <w:spacing w:beforeLines="50" w:before="120" w:afterLines="50" w:after="120" w:line="240" w:lineRule="auto"/>
        <w:ind w:firstLineChars="0"/>
        <w:jc w:val="both"/>
        <w:rPr>
          <w:rFonts w:ascii="Times New Roman" w:eastAsia="宋体" w:hAnsi="Times New Roman" w:cs="Times New Roman"/>
          <w:sz w:val="20"/>
          <w:szCs w:val="20"/>
        </w:rPr>
      </w:pPr>
      <w:r w:rsidRPr="00ED26AE">
        <w:rPr>
          <w:rFonts w:ascii="Times New Roman" w:eastAsia="宋体" w:hAnsi="Times New Roman" w:cs="Times New Roman"/>
          <w:sz w:val="20"/>
          <w:szCs w:val="20"/>
        </w:rPr>
        <w:t xml:space="preserve">For </w:t>
      </w:r>
      <w:r w:rsidRPr="00ED26AE">
        <w:rPr>
          <w:rFonts w:ascii="Times New Roman" w:eastAsia="宋体" w:hAnsi="Times New Roman" w:cs="Times New Roman"/>
          <w:sz w:val="20"/>
          <w:szCs w:val="20"/>
        </w:rPr>
        <w:t xml:space="preserve">15kHz </w:t>
      </w:r>
      <w:r w:rsidRPr="00ED26AE">
        <w:rPr>
          <w:rFonts w:ascii="Times New Roman" w:eastAsia="宋体" w:hAnsi="Times New Roman" w:cs="Times New Roman"/>
          <w:sz w:val="20"/>
          <w:szCs w:val="20"/>
        </w:rPr>
        <w:t xml:space="preserve">subcarrier spacing, </w:t>
      </w:r>
      <w:r w:rsidRPr="00ED26AE">
        <w:rPr>
          <w:rFonts w:ascii="Times New Roman" w:eastAsia="宋体" w:hAnsi="Times New Roman" w:cs="Times New Roman"/>
          <w:sz w:val="20"/>
          <w:szCs w:val="20"/>
        </w:rPr>
        <w:t>the subcarrier starts from subca</w:t>
      </w:r>
      <w:r w:rsidRPr="00ED26AE">
        <w:rPr>
          <w:rFonts w:ascii="Times New Roman" w:eastAsia="宋体" w:hAnsi="Times New Roman" w:cs="Times New Roman"/>
          <w:sz w:val="20"/>
          <w:szCs w:val="20"/>
        </w:rPr>
        <w:t xml:space="preserve">rrier 0 and offset grows positively. As shown in </w:t>
      </w:r>
      <w:r w:rsidRPr="00ED26AE">
        <w:rPr>
          <w:rFonts w:ascii="Times New Roman" w:eastAsia="宋体" w:hAnsi="Times New Roman" w:cs="Times New Roman"/>
          <w:sz w:val="20"/>
          <w:szCs w:val="20"/>
        </w:rPr>
        <w:fldChar w:fldCharType="begin"/>
      </w:r>
      <w:r w:rsidRPr="00ED26AE">
        <w:rPr>
          <w:rFonts w:ascii="Times New Roman" w:eastAsia="宋体" w:hAnsi="Times New Roman" w:cs="Times New Roman"/>
          <w:sz w:val="20"/>
          <w:szCs w:val="20"/>
        </w:rPr>
        <w:instrText xml:space="preserve"> REF _Ref424 \h </w:instrText>
      </w:r>
      <w:r w:rsidRPr="00ED26AE">
        <w:rPr>
          <w:rFonts w:ascii="Times New Roman" w:eastAsia="宋体" w:hAnsi="Times New Roman" w:cs="Times New Roman"/>
          <w:sz w:val="20"/>
          <w:szCs w:val="20"/>
        </w:rPr>
      </w:r>
      <w:r w:rsidR="00ED26AE" w:rsidRPr="00ED26AE">
        <w:rPr>
          <w:rFonts w:ascii="Times New Roman" w:eastAsia="宋体" w:hAnsi="Times New Roman" w:cs="Times New Roman"/>
          <w:sz w:val="20"/>
          <w:szCs w:val="20"/>
        </w:rPr>
        <w:instrText xml:space="preserve"> \* MERGEFORMAT </w:instrText>
      </w:r>
      <w:r w:rsidRPr="00ED26AE">
        <w:rPr>
          <w:rFonts w:ascii="Times New Roman" w:eastAsia="宋体" w:hAnsi="Times New Roman" w:cs="Times New Roman"/>
          <w:sz w:val="20"/>
          <w:szCs w:val="20"/>
        </w:rPr>
        <w:fldChar w:fldCharType="separate"/>
      </w:r>
      <w:r w:rsidR="008245C1" w:rsidRPr="00ED26AE">
        <w:rPr>
          <w:rFonts w:ascii="Times New Roman" w:hAnsi="Times New Roman" w:cs="Times New Roman"/>
          <w:sz w:val="20"/>
          <w:szCs w:val="20"/>
        </w:rPr>
        <w:t>Table 1</w:t>
      </w:r>
      <w:r w:rsidRPr="00ED26AE">
        <w:rPr>
          <w:rFonts w:ascii="Times New Roman" w:eastAsia="宋体" w:hAnsi="Times New Roman" w:cs="Times New Roman"/>
          <w:sz w:val="20"/>
          <w:szCs w:val="20"/>
        </w:rPr>
        <w:fldChar w:fldCharType="end"/>
      </w:r>
      <w:r w:rsidRPr="00ED26AE">
        <w:rPr>
          <w:rFonts w:ascii="Times New Roman" w:eastAsia="宋体" w:hAnsi="Times New Roman" w:cs="Times New Roman"/>
          <w:sz w:val="20"/>
          <w:szCs w:val="20"/>
        </w:rPr>
        <w:t xml:space="preserve">, </w:t>
      </w:r>
      <w:r w:rsidRPr="00ED26AE">
        <w:rPr>
          <w:rFonts w:ascii="Times New Roman" w:eastAsia="宋体" w:hAnsi="Times New Roman" w:cs="Times New Roman"/>
          <w:sz w:val="20"/>
          <w:szCs w:val="20"/>
        </w:rPr>
        <w:t>considering packing of multiple ACK/NACK resource</w:t>
      </w:r>
      <w:r w:rsidRPr="00ED26AE">
        <w:rPr>
          <w:rFonts w:ascii="Times New Roman" w:eastAsia="宋体" w:hAnsi="Times New Roman" w:cs="Times New Roman"/>
          <w:sz w:val="20"/>
          <w:szCs w:val="20"/>
        </w:rPr>
        <w:t>s</w:t>
      </w:r>
      <w:r w:rsidRPr="00ED26AE">
        <w:rPr>
          <w:rFonts w:ascii="Times New Roman" w:eastAsia="宋体" w:hAnsi="Times New Roman" w:cs="Times New Roman"/>
          <w:sz w:val="20"/>
          <w:szCs w:val="20"/>
        </w:rPr>
        <w:t xml:space="preserve"> </w:t>
      </w:r>
      <w:r w:rsidRPr="00ED26AE">
        <w:rPr>
          <w:rFonts w:ascii="Times New Roman" w:eastAsia="宋体" w:hAnsi="Times New Roman" w:cs="Times New Roman"/>
          <w:sz w:val="20"/>
          <w:szCs w:val="20"/>
        </w:rPr>
        <w:t xml:space="preserve">with the resource for multi-tone </w:t>
      </w:r>
      <w:r w:rsidRPr="00ED26AE">
        <w:rPr>
          <w:rFonts w:ascii="Times New Roman" w:eastAsia="宋体" w:hAnsi="Times New Roman" w:cs="Times New Roman"/>
          <w:sz w:val="20"/>
          <w:szCs w:val="20"/>
        </w:rPr>
        <w:t xml:space="preserve">data transmission and </w:t>
      </w:r>
      <w:r w:rsidRPr="00ED26AE">
        <w:rPr>
          <w:rFonts w:ascii="Times New Roman" w:eastAsia="宋体" w:hAnsi="Times New Roman" w:cs="Times New Roman"/>
          <w:sz w:val="20"/>
          <w:szCs w:val="20"/>
        </w:rPr>
        <w:t xml:space="preserve">reducing </w:t>
      </w:r>
      <w:r w:rsidRPr="00ED26AE">
        <w:rPr>
          <w:rFonts w:ascii="Times New Roman" w:eastAsia="宋体" w:hAnsi="Times New Roman" w:cs="Times New Roman"/>
          <w:sz w:val="20"/>
          <w:szCs w:val="20"/>
        </w:rPr>
        <w:t>resou</w:t>
      </w:r>
      <w:r w:rsidRPr="00ED26AE">
        <w:rPr>
          <w:rFonts w:ascii="Times New Roman" w:eastAsia="宋体" w:hAnsi="Times New Roman" w:cs="Times New Roman"/>
          <w:sz w:val="20"/>
          <w:szCs w:val="20"/>
        </w:rPr>
        <w:t xml:space="preserve">rce </w:t>
      </w:r>
      <w:r w:rsidRPr="00ED26AE">
        <w:rPr>
          <w:rFonts w:ascii="Times New Roman" w:eastAsia="宋体" w:hAnsi="Times New Roman" w:cs="Times New Roman"/>
          <w:sz w:val="20"/>
          <w:szCs w:val="20"/>
        </w:rPr>
        <w:t>segmentation</w:t>
      </w:r>
      <w:r w:rsidRPr="00ED26AE">
        <w:rPr>
          <w:rFonts w:ascii="Times New Roman" w:eastAsia="宋体" w:hAnsi="Times New Roman" w:cs="Times New Roman"/>
          <w:sz w:val="20"/>
          <w:szCs w:val="20"/>
        </w:rPr>
        <w:t xml:space="preserve">, the </w:t>
      </w:r>
      <w:r w:rsidRPr="00ED26AE">
        <w:rPr>
          <w:rFonts w:ascii="Times New Roman" w:eastAsia="宋体" w:hAnsi="Times New Roman" w:cs="Times New Roman"/>
          <w:sz w:val="20"/>
          <w:szCs w:val="20"/>
        </w:rPr>
        <w:t xml:space="preserve">larger </w:t>
      </w:r>
      <w:r w:rsidRPr="00ED26AE">
        <w:rPr>
          <w:rFonts w:ascii="Times New Roman" w:eastAsia="宋体" w:hAnsi="Times New Roman" w:cs="Times New Roman"/>
          <w:sz w:val="20"/>
          <w:szCs w:val="20"/>
        </w:rPr>
        <w:t>the subcarrier index and</w:t>
      </w:r>
      <w:r w:rsidRPr="00ED26AE">
        <w:rPr>
          <w:rFonts w:ascii="Times New Roman" w:eastAsia="宋体" w:hAnsi="Times New Roman" w:cs="Times New Roman"/>
          <w:sz w:val="20"/>
          <w:szCs w:val="20"/>
        </w:rPr>
        <w:t xml:space="preserve"> the smaller</w:t>
      </w:r>
      <w:r w:rsidRPr="00ED26AE">
        <w:rPr>
          <w:rFonts w:ascii="Times New Roman" w:eastAsia="宋体" w:hAnsi="Times New Roman" w:cs="Times New Roman"/>
          <w:sz w:val="20"/>
          <w:szCs w:val="20"/>
        </w:rPr>
        <w:t xml:space="preserve"> </w:t>
      </w:r>
      <w:r w:rsidRPr="00ED26AE">
        <w:rPr>
          <w:rFonts w:ascii="Times New Roman" w:hAnsi="Times New Roman" w:cs="Times New Roman"/>
          <w:bCs/>
          <w:position w:val="-12"/>
          <w:sz w:val="20"/>
          <w:szCs w:val="20"/>
        </w:rPr>
        <w:object w:dxaOrig="30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5pt;height:16.05pt" o:ole="">
            <v:imagedata r:id="rId9" o:title=""/>
          </v:shape>
          <o:OLEObject Type="Embed" ProgID="Equation.3" ShapeID="_x0000_i1122" DrawAspect="Content" ObjectID="_1753278801" r:id="rId10"/>
        </w:object>
      </w:r>
      <w:r w:rsidRPr="00ED26AE">
        <w:rPr>
          <w:rFonts w:ascii="Times New Roman" w:hAnsi="Times New Roman" w:cs="Times New Roman"/>
          <w:bCs/>
          <w:sz w:val="20"/>
          <w:szCs w:val="20"/>
        </w:rPr>
        <w:t xml:space="preserve"> </w:t>
      </w:r>
      <w:r w:rsidRPr="00ED26AE">
        <w:rPr>
          <w:rFonts w:ascii="Times New Roman" w:eastAsia="宋体" w:hAnsi="Times New Roman" w:cs="Times New Roman"/>
          <w:sz w:val="20"/>
          <w:szCs w:val="20"/>
        </w:rPr>
        <w:t>is</w:t>
      </w:r>
      <w:r w:rsidRPr="00ED26AE">
        <w:rPr>
          <w:rFonts w:ascii="Times New Roman" w:eastAsia="宋体" w:hAnsi="Times New Roman" w:cs="Times New Roman"/>
          <w:sz w:val="20"/>
          <w:szCs w:val="20"/>
        </w:rPr>
        <w:t>, the less the original design principle will be destroyed</w:t>
      </w:r>
      <w:r w:rsidRPr="00ED26AE">
        <w:rPr>
          <w:rFonts w:ascii="Times New Roman" w:eastAsia="宋体" w:hAnsi="Times New Roman" w:cs="Times New Roman"/>
          <w:sz w:val="20"/>
          <w:szCs w:val="20"/>
        </w:rPr>
        <w:t xml:space="preserve"> and the more consecutive frequency resources and time resources can be used for data transmission</w:t>
      </w:r>
      <w:r w:rsidRPr="00ED26AE">
        <w:rPr>
          <w:rFonts w:ascii="Times New Roman" w:eastAsia="宋体" w:hAnsi="Times New Roman" w:cs="Times New Roman"/>
          <w:sz w:val="20"/>
          <w:szCs w:val="20"/>
        </w:rPr>
        <w:t xml:space="preserve">. Therefore, </w:t>
      </w:r>
      <w:r w:rsidRPr="00ED26AE">
        <w:rPr>
          <w:rFonts w:ascii="Times New Roman" w:eastAsia="宋体" w:hAnsi="Times New Roman" w:cs="Times New Roman"/>
          <w:sz w:val="20"/>
          <w:szCs w:val="20"/>
        </w:rPr>
        <w:t xml:space="preserve">the state 3 in the ACK/NACK resource field in the DCI format N1 can be reused as state A to indicate overridden indication for the 15kHz subcarrier spacing configuration. </w:t>
      </w:r>
    </w:p>
    <w:p w:rsidR="002F0DDA" w:rsidRPr="00ED26AE" w:rsidRDefault="00A77DDA">
      <w:pPr>
        <w:pStyle w:val="af7"/>
        <w:numPr>
          <w:ilvl w:val="0"/>
          <w:numId w:val="8"/>
        </w:numPr>
        <w:spacing w:beforeLines="50" w:before="120" w:afterLines="50" w:after="120" w:line="240" w:lineRule="auto"/>
        <w:ind w:firstLineChars="0"/>
        <w:jc w:val="both"/>
        <w:rPr>
          <w:rFonts w:ascii="Times New Roman" w:eastAsia="宋体" w:hAnsi="Times New Roman" w:cs="Times New Roman"/>
          <w:sz w:val="20"/>
          <w:szCs w:val="20"/>
        </w:rPr>
      </w:pPr>
      <w:r w:rsidRPr="00ED26AE">
        <w:rPr>
          <w:rFonts w:ascii="Times New Roman" w:eastAsia="宋体" w:hAnsi="Times New Roman" w:cs="Times New Roman"/>
          <w:sz w:val="20"/>
          <w:szCs w:val="20"/>
        </w:rPr>
        <w:t xml:space="preserve">Similarly, </w:t>
      </w:r>
      <w:r w:rsidRPr="00ED26AE">
        <w:rPr>
          <w:rFonts w:ascii="Times New Roman" w:eastAsia="宋体" w:hAnsi="Times New Roman" w:cs="Times New Roman"/>
          <w:sz w:val="20"/>
          <w:szCs w:val="20"/>
        </w:rPr>
        <w:t xml:space="preserve">for </w:t>
      </w:r>
      <w:r w:rsidRPr="00ED26AE">
        <w:rPr>
          <w:rFonts w:ascii="Times New Roman" w:eastAsia="宋体" w:hAnsi="Times New Roman" w:cs="Times New Roman"/>
          <w:sz w:val="20"/>
          <w:szCs w:val="20"/>
        </w:rPr>
        <w:t xml:space="preserve">3.75kHz </w:t>
      </w:r>
      <w:r w:rsidRPr="00ED26AE">
        <w:rPr>
          <w:rFonts w:ascii="Times New Roman" w:eastAsia="宋体" w:hAnsi="Times New Roman" w:cs="Times New Roman"/>
          <w:sz w:val="20"/>
          <w:szCs w:val="20"/>
        </w:rPr>
        <w:t xml:space="preserve">subcarrier spacing, </w:t>
      </w:r>
      <w:r w:rsidRPr="00ED26AE">
        <w:rPr>
          <w:rFonts w:ascii="Times New Roman" w:eastAsia="宋体" w:hAnsi="Times New Roman" w:cs="Times New Roman"/>
          <w:sz w:val="20"/>
          <w:szCs w:val="20"/>
        </w:rPr>
        <w:t>the subcarrier starts from s</w:t>
      </w:r>
      <w:r w:rsidRPr="00ED26AE">
        <w:rPr>
          <w:rFonts w:ascii="Times New Roman" w:eastAsia="宋体" w:hAnsi="Times New Roman" w:cs="Times New Roman"/>
          <w:sz w:val="20"/>
          <w:szCs w:val="20"/>
        </w:rPr>
        <w:t xml:space="preserve">ubcarrier 45 and offset grows negatively. As shown in </w:t>
      </w:r>
      <w:r w:rsidRPr="00ED26AE">
        <w:rPr>
          <w:rFonts w:ascii="Times New Roman" w:eastAsia="宋体" w:hAnsi="Times New Roman" w:cs="Times New Roman"/>
          <w:sz w:val="20"/>
          <w:szCs w:val="20"/>
        </w:rPr>
        <w:fldChar w:fldCharType="begin"/>
      </w:r>
      <w:r w:rsidRPr="00ED26AE">
        <w:rPr>
          <w:rFonts w:ascii="Times New Roman" w:eastAsia="宋体" w:hAnsi="Times New Roman" w:cs="Times New Roman"/>
          <w:sz w:val="20"/>
          <w:szCs w:val="20"/>
        </w:rPr>
        <w:instrText xml:space="preserve"> REF _Ref29385 \h </w:instrText>
      </w:r>
      <w:r w:rsidRPr="00ED26AE">
        <w:rPr>
          <w:rFonts w:ascii="Times New Roman" w:eastAsia="宋体" w:hAnsi="Times New Roman" w:cs="Times New Roman"/>
          <w:sz w:val="20"/>
          <w:szCs w:val="20"/>
        </w:rPr>
      </w:r>
      <w:r w:rsidR="00ED26AE" w:rsidRPr="00ED26AE">
        <w:rPr>
          <w:rFonts w:ascii="Times New Roman" w:eastAsia="宋体" w:hAnsi="Times New Roman" w:cs="Times New Roman"/>
          <w:sz w:val="20"/>
          <w:szCs w:val="20"/>
        </w:rPr>
        <w:instrText xml:space="preserve"> \* MERGEFORMAT </w:instrText>
      </w:r>
      <w:r w:rsidRPr="00ED26AE">
        <w:rPr>
          <w:rFonts w:ascii="Times New Roman" w:eastAsia="宋体" w:hAnsi="Times New Roman" w:cs="Times New Roman"/>
          <w:sz w:val="20"/>
          <w:szCs w:val="20"/>
        </w:rPr>
        <w:fldChar w:fldCharType="separate"/>
      </w:r>
      <w:r w:rsidR="008245C1" w:rsidRPr="00ED26AE">
        <w:rPr>
          <w:rFonts w:ascii="Times New Roman" w:hAnsi="Times New Roman" w:cs="Times New Roman"/>
          <w:sz w:val="20"/>
          <w:szCs w:val="20"/>
        </w:rPr>
        <w:t>Table 2</w:t>
      </w:r>
      <w:r w:rsidRPr="00ED26AE">
        <w:rPr>
          <w:rFonts w:ascii="Times New Roman" w:eastAsia="宋体" w:hAnsi="Times New Roman" w:cs="Times New Roman"/>
          <w:sz w:val="20"/>
          <w:szCs w:val="20"/>
        </w:rPr>
        <w:fldChar w:fldCharType="end"/>
      </w:r>
      <w:r w:rsidRPr="00ED26AE">
        <w:rPr>
          <w:rFonts w:ascii="Times New Roman" w:eastAsia="宋体" w:hAnsi="Times New Roman" w:cs="Times New Roman"/>
          <w:sz w:val="20"/>
          <w:szCs w:val="20"/>
        </w:rPr>
        <w:t>, cho</w:t>
      </w:r>
      <w:r w:rsidRPr="00ED26AE">
        <w:rPr>
          <w:rFonts w:ascii="Times New Roman" w:eastAsia="宋体" w:hAnsi="Times New Roman" w:cs="Times New Roman"/>
          <w:sz w:val="20"/>
          <w:szCs w:val="20"/>
        </w:rPr>
        <w:t xml:space="preserve">osing </w:t>
      </w:r>
      <w:r w:rsidRPr="00ED26AE">
        <w:rPr>
          <w:rFonts w:ascii="Times New Roman" w:eastAsia="宋体" w:hAnsi="Times New Roman" w:cs="Times New Roman"/>
          <w:sz w:val="20"/>
          <w:szCs w:val="20"/>
        </w:rPr>
        <w:t>smaller subcarrier index (e.g., 38) for</w:t>
      </w:r>
      <w:r w:rsidRPr="00ED26AE">
        <w:rPr>
          <w:rFonts w:ascii="Times New Roman" w:eastAsia="宋体" w:hAnsi="Times New Roman" w:cs="Times New Roman"/>
          <w:sz w:val="20"/>
          <w:szCs w:val="20"/>
        </w:rPr>
        <w:t xml:space="preserve"> DCI-based overridden/direct indication </w:t>
      </w:r>
      <w:r w:rsidRPr="00ED26AE">
        <w:rPr>
          <w:rFonts w:ascii="Times New Roman" w:eastAsia="宋体" w:hAnsi="Times New Roman" w:cs="Times New Roman"/>
          <w:sz w:val="20"/>
          <w:szCs w:val="20"/>
        </w:rPr>
        <w:t xml:space="preserve">can </w:t>
      </w:r>
      <w:r w:rsidRPr="00ED26AE">
        <w:rPr>
          <w:rFonts w:ascii="Times New Roman" w:eastAsia="宋体" w:hAnsi="Times New Roman" w:cs="Times New Roman"/>
          <w:sz w:val="20"/>
          <w:szCs w:val="20"/>
        </w:rPr>
        <w:t>reduce the possibili</w:t>
      </w:r>
      <w:r w:rsidRPr="00ED26AE">
        <w:rPr>
          <w:rFonts w:ascii="Times New Roman" w:eastAsia="宋体" w:hAnsi="Times New Roman" w:cs="Times New Roman"/>
          <w:sz w:val="20"/>
          <w:szCs w:val="20"/>
        </w:rPr>
        <w:t xml:space="preserve">ty of resource segmentation, since </w:t>
      </w:r>
      <w:r w:rsidRPr="00ED26AE">
        <w:rPr>
          <w:rFonts w:ascii="Times New Roman" w:eastAsia="宋体" w:hAnsi="Times New Roman" w:cs="Times New Roman"/>
          <w:sz w:val="20"/>
          <w:szCs w:val="20"/>
        </w:rPr>
        <w:t xml:space="preserve">more continuous number of subcarriers </w:t>
      </w:r>
      <w:r w:rsidRPr="00ED26AE">
        <w:rPr>
          <w:rFonts w:ascii="Times New Roman" w:eastAsia="宋体" w:hAnsi="Times New Roman" w:cs="Times New Roman"/>
          <w:sz w:val="20"/>
          <w:szCs w:val="20"/>
        </w:rPr>
        <w:t xml:space="preserve">can be allowed </w:t>
      </w:r>
      <w:r w:rsidRPr="00ED26AE">
        <w:rPr>
          <w:rFonts w:ascii="Times New Roman" w:eastAsia="宋体" w:hAnsi="Times New Roman" w:cs="Times New Roman"/>
          <w:sz w:val="20"/>
          <w:szCs w:val="20"/>
        </w:rPr>
        <w:t>for data transmission</w:t>
      </w:r>
      <w:r w:rsidRPr="00ED26AE">
        <w:rPr>
          <w:rFonts w:ascii="Times New Roman" w:eastAsia="宋体" w:hAnsi="Times New Roman" w:cs="Times New Roman"/>
          <w:sz w:val="20"/>
          <w:szCs w:val="20"/>
        </w:rPr>
        <w:t>.</w:t>
      </w:r>
      <w:r w:rsidRPr="00ED26AE">
        <w:rPr>
          <w:rFonts w:ascii="Times New Roman" w:eastAsia="宋体" w:hAnsi="Times New Roman" w:cs="Times New Roman"/>
          <w:sz w:val="20"/>
          <w:szCs w:val="20"/>
        </w:rPr>
        <w:t xml:space="preserve"> </w:t>
      </w:r>
      <w:r w:rsidRPr="00ED26AE">
        <w:rPr>
          <w:rFonts w:ascii="Times New Roman" w:eastAsia="宋体" w:hAnsi="Times New Roman" w:cs="Times New Roman"/>
          <w:sz w:val="20"/>
          <w:szCs w:val="20"/>
        </w:rPr>
        <w:t>Hence,</w:t>
      </w:r>
      <w:r w:rsidRPr="00ED26AE">
        <w:rPr>
          <w:rFonts w:ascii="Times New Roman" w:eastAsia="宋体" w:hAnsi="Times New Roman" w:cs="Times New Roman"/>
          <w:sz w:val="20"/>
          <w:szCs w:val="20"/>
        </w:rPr>
        <w:t xml:space="preserve"> the state 0 can be reused as state A for the 3.75kHz subcarrier spacing configuration. </w:t>
      </w:r>
      <w:r w:rsidRPr="00ED26AE">
        <w:rPr>
          <w:rFonts w:ascii="Times New Roman" w:eastAsia="宋体" w:hAnsi="Times New Roman" w:cs="Times New Roman"/>
          <w:sz w:val="20"/>
          <w:szCs w:val="20"/>
        </w:rPr>
        <w:t>This is beneficial to support</w:t>
      </w:r>
      <w:r w:rsidRPr="00ED26AE">
        <w:rPr>
          <w:rFonts w:ascii="Times New Roman" w:eastAsia="宋体" w:hAnsi="Times New Roman" w:cs="Times New Roman"/>
          <w:sz w:val="20"/>
          <w:szCs w:val="20"/>
        </w:rPr>
        <w:t xml:space="preserve"> packing of multiple A</w:t>
      </w:r>
      <w:r w:rsidRPr="00ED26AE">
        <w:rPr>
          <w:rFonts w:ascii="Times New Roman" w:eastAsia="宋体" w:hAnsi="Times New Roman" w:cs="Times New Roman"/>
          <w:sz w:val="20"/>
          <w:szCs w:val="20"/>
        </w:rPr>
        <w:t>CK/NACK resources with the resource for</w:t>
      </w:r>
      <w:r w:rsidRPr="00ED26AE">
        <w:rPr>
          <w:rFonts w:ascii="Times New Roman" w:eastAsia="宋体" w:hAnsi="Times New Roman" w:cs="Times New Roman"/>
          <w:sz w:val="20"/>
          <w:szCs w:val="20"/>
        </w:rPr>
        <w:t xml:space="preserve"> multi-tone data transmission</w:t>
      </w:r>
      <w:r w:rsidRPr="00ED26AE">
        <w:rPr>
          <w:rFonts w:ascii="Times New Roman" w:eastAsia="宋体" w:hAnsi="Times New Roman" w:cs="Times New Roman"/>
          <w:sz w:val="20"/>
          <w:szCs w:val="20"/>
        </w:rPr>
        <w:t xml:space="preserve"> in the same subframes</w:t>
      </w:r>
      <w:r w:rsidRPr="00ED26AE">
        <w:rPr>
          <w:rFonts w:ascii="Times New Roman" w:eastAsia="宋体" w:hAnsi="Times New Roman" w:cs="Times New Roman"/>
          <w:sz w:val="20"/>
          <w:szCs w:val="20"/>
        </w:rPr>
        <w:t xml:space="preserve">. </w:t>
      </w:r>
      <w:r w:rsidRPr="00ED26AE">
        <w:rPr>
          <w:rFonts w:ascii="Times New Roman" w:eastAsia="宋体" w:hAnsi="Times New Roman" w:cs="Times New Roman"/>
          <w:sz w:val="20"/>
          <w:szCs w:val="20"/>
        </w:rPr>
        <w:t>Based on above configuration, the legacy specification can be kept unchanged to the maximum extent, and allows for the flexible use of DCI-based overridden/direct i</w:t>
      </w:r>
      <w:r w:rsidRPr="00ED26AE">
        <w:rPr>
          <w:rFonts w:ascii="Times New Roman" w:eastAsia="宋体" w:hAnsi="Times New Roman" w:cs="Times New Roman"/>
          <w:sz w:val="20"/>
          <w:szCs w:val="20"/>
        </w:rPr>
        <w:t>ndication.</w:t>
      </w:r>
    </w:p>
    <w:p w:rsidR="00BB0E75" w:rsidRDefault="00BB0E75" w:rsidP="00BB0E75">
      <w:pPr>
        <w:pStyle w:val="a3"/>
        <w:numPr>
          <w:ilvl w:val="0"/>
          <w:numId w:val="8"/>
        </w:numPr>
        <w:rPr>
          <w:sz w:val="18"/>
          <w:szCs w:val="18"/>
        </w:rPr>
      </w:pPr>
      <w:bookmarkStart w:id="5" w:name="_Ref424"/>
      <w:bookmarkEnd w:id="4"/>
      <w:r>
        <w:rPr>
          <w:sz w:val="18"/>
          <w:szCs w:val="18"/>
        </w:rPr>
        <w:lastRenderedPageBreak/>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bookmarkEnd w:id="5"/>
      <w:r>
        <w:rPr>
          <w:sz w:val="18"/>
          <w:szCs w:val="18"/>
        </w:rPr>
        <w:t xml:space="preserve">: ACK/NACK subcarrier and </w:t>
      </w:r>
      <w:r>
        <w:rPr>
          <w:position w:val="-10"/>
          <w:sz w:val="18"/>
          <w:szCs w:val="18"/>
        </w:rPr>
        <w:object w:dxaOrig="288" w:dyaOrig="288">
          <v:shape id="_x0000_i1139" type="#_x0000_t75" style="width:14.4pt;height:14.4pt" o:ole="">
            <v:imagedata r:id="rId11" o:title=""/>
          </v:shape>
          <o:OLEObject Type="Embed" ProgID="Equation.3" ShapeID="_x0000_i1139" DrawAspect="Content" ObjectID="_1753278802" r:id="rId12"/>
        </w:object>
      </w:r>
      <w:r>
        <w:rPr>
          <w:sz w:val="18"/>
          <w:szCs w:val="18"/>
        </w:rPr>
        <w:t xml:space="preserve">for NPUSCH with subcarrier spacing </w:t>
      </w:r>
      <w:r>
        <w:rPr>
          <w:position w:val="-10"/>
          <w:sz w:val="18"/>
          <w:szCs w:val="18"/>
        </w:rPr>
        <w:object w:dxaOrig="1003" w:dyaOrig="288">
          <v:shape id="_x0000_i1140" type="#_x0000_t75" style="width:50.4pt;height:14.4pt" o:ole="">
            <v:imagedata r:id="rId13" o:title=""/>
          </v:shape>
          <o:OLEObject Type="Embed" ProgID="Equation.3" ShapeID="_x0000_i1140" DrawAspect="Content" ObjectID="_1753278803" r:id="rId14"/>
        </w:object>
      </w:r>
      <w:r>
        <w:rPr>
          <w:sz w:val="18"/>
          <w:szCs w:val="18"/>
        </w:rPr>
        <w:t>.</w:t>
      </w:r>
    </w:p>
    <w:tbl>
      <w:tblPr>
        <w:tblW w:w="0" w:type="auto"/>
        <w:jc w:val="center"/>
        <w:tblCellMar>
          <w:left w:w="0" w:type="dxa"/>
          <w:right w:w="0" w:type="dxa"/>
        </w:tblCellMar>
        <w:tblLook w:val="04A0" w:firstRow="1" w:lastRow="0" w:firstColumn="1" w:lastColumn="0" w:noHBand="0" w:noVBand="1"/>
      </w:tblPr>
      <w:tblGrid>
        <w:gridCol w:w="1968"/>
        <w:gridCol w:w="2327"/>
        <w:gridCol w:w="415"/>
      </w:tblGrid>
      <w:tr w:rsidR="00BB0E75" w:rsidTr="007813F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B0E75" w:rsidRDefault="00BB0E75" w:rsidP="007813F4">
            <w:pPr>
              <w:pStyle w:val="TAH"/>
              <w:rPr>
                <w:rFonts w:cs="Arial"/>
                <w:b w:val="0"/>
                <w:bCs/>
                <w:sz w:val="16"/>
                <w:szCs w:val="16"/>
              </w:rPr>
            </w:pPr>
            <w:r>
              <w:rPr>
                <w:rFonts w:cs="Arial"/>
                <w:bCs/>
                <w:sz w:val="16"/>
                <w:szCs w:val="16"/>
              </w:rPr>
              <w:t>ACK/NACK resource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B0E75" w:rsidRDefault="00BB0E75" w:rsidP="007813F4">
            <w:pPr>
              <w:pStyle w:val="TAH"/>
              <w:rPr>
                <w:rFonts w:cs="Arial"/>
                <w:bCs/>
                <w:sz w:val="16"/>
                <w:szCs w:val="16"/>
              </w:rPr>
            </w:pPr>
            <w:r>
              <w:rPr>
                <w:rFonts w:cs="Arial"/>
                <w:bCs/>
                <w:sz w:val="16"/>
                <w:szCs w:val="16"/>
              </w:rPr>
              <w:t>ACK/NACK subcarrier</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B0E75" w:rsidRDefault="00BB0E75" w:rsidP="007813F4">
            <w:pPr>
              <w:pStyle w:val="TAH"/>
              <w:rPr>
                <w:rFonts w:eastAsia="MS Mincho" w:cs="Arial"/>
                <w:b w:val="0"/>
                <w:bCs/>
                <w:i/>
                <w:iCs/>
                <w:sz w:val="16"/>
                <w:szCs w:val="16"/>
                <w:lang w:eastAsia="ja-JP"/>
              </w:rPr>
            </w:pPr>
            <w:r>
              <w:rPr>
                <w:rFonts w:cs="Arial" w:hint="eastAsia"/>
                <w:bCs/>
                <w:sz w:val="16"/>
                <w:szCs w:val="16"/>
              </w:rPr>
              <w:object w:dxaOrig="288" w:dyaOrig="288">
                <v:shape id="_x0000_i1141" type="#_x0000_t75" style="width:14.4pt;height:14.4pt" o:ole="">
                  <v:imagedata r:id="rId11" o:title=""/>
                </v:shape>
                <o:OLEObject Type="Embed" ProgID="Equation.3" ShapeID="_x0000_i1141" DrawAspect="Content" ObjectID="_1753278804" r:id="rId15"/>
              </w:objec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hAnsi="Arial" w:hint="eastAsia"/>
                <w:sz w:val="16"/>
                <w:szCs w:val="16"/>
              </w:rPr>
              <w:t>0</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宋体" w:hAnsi="Arial"/>
                <w:iCs/>
                <w:sz w:val="16"/>
                <w:szCs w:val="16"/>
              </w:rPr>
            </w:pPr>
            <w:r>
              <w:rPr>
                <w:rFonts w:ascii="Arial" w:eastAsia="宋体" w:hAnsi="Arial" w:hint="eastAsia"/>
                <w:iCs/>
                <w:sz w:val="16"/>
                <w:szCs w:val="16"/>
              </w:rPr>
              <w:t>0</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hAnsi="Arial" w:hint="eastAsia"/>
                <w:sz w:val="16"/>
                <w:szCs w:val="16"/>
              </w:rPr>
              <w:t>13</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w:t>
            </w:r>
          </w:p>
        </w:tc>
        <w:tc>
          <w:tcPr>
            <w:tcW w:w="415"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13</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2</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13</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3</w:t>
            </w:r>
          </w:p>
        </w:tc>
        <w:tc>
          <w:tcPr>
            <w:tcW w:w="2742" w:type="dxa"/>
            <w:gridSpan w:val="2"/>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hAnsi="Arial"/>
                <w:sz w:val="16"/>
                <w:szCs w:val="16"/>
                <w:highlight w:val="yellow"/>
              </w:rPr>
            </w:pPr>
            <w:r>
              <w:rPr>
                <w:rFonts w:ascii="Arial" w:hAnsi="Arial"/>
                <w:sz w:val="16"/>
                <w:szCs w:val="16"/>
                <w:highlight w:val="yellow"/>
              </w:rPr>
              <w:t>DCI-based overridden/direct indication</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0</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15</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5</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15</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6</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15</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7</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15</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8</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0</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17</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9</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17</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10</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17</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11</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17</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12</w:t>
            </w:r>
          </w:p>
        </w:tc>
        <w:tc>
          <w:tcPr>
            <w:tcW w:w="0" w:type="auto"/>
            <w:tcBorders>
              <w:top w:val="single" w:sz="4" w:space="0" w:color="auto"/>
              <w:left w:val="single" w:sz="8" w:space="0" w:color="auto"/>
              <w:bottom w:val="single" w:sz="4" w:space="0" w:color="auto"/>
              <w:right w:val="single" w:sz="8" w:space="0" w:color="auto"/>
            </w:tcBorders>
            <w:shd w:val="clear" w:color="auto" w:fill="auto"/>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0</w:t>
            </w:r>
          </w:p>
        </w:tc>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18</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13</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18</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14</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18</w:t>
            </w:r>
          </w:p>
        </w:tc>
      </w:tr>
      <w:tr w:rsidR="00BB0E75" w:rsidTr="007813F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15</w:t>
            </w:r>
          </w:p>
        </w:tc>
        <w:tc>
          <w:tcPr>
            <w:tcW w:w="0" w:type="auto"/>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18</w:t>
            </w:r>
          </w:p>
        </w:tc>
      </w:tr>
    </w:tbl>
    <w:p w:rsidR="00BB0E75" w:rsidRDefault="00BB0E75" w:rsidP="00BB0E75">
      <w:pPr>
        <w:pStyle w:val="a3"/>
        <w:numPr>
          <w:ilvl w:val="0"/>
          <w:numId w:val="8"/>
        </w:numPr>
        <w:rPr>
          <w:sz w:val="18"/>
          <w:szCs w:val="18"/>
        </w:rPr>
      </w:pPr>
      <w:bookmarkStart w:id="6" w:name="_Ref506"/>
    </w:p>
    <w:p w:rsidR="00BB0E75" w:rsidRDefault="00BB0E75" w:rsidP="00BB0E75">
      <w:pPr>
        <w:pStyle w:val="a3"/>
        <w:numPr>
          <w:ilvl w:val="0"/>
          <w:numId w:val="8"/>
        </w:numPr>
        <w:rPr>
          <w:sz w:val="18"/>
          <w:szCs w:val="18"/>
        </w:rPr>
      </w:pPr>
      <w:bookmarkStart w:id="7" w:name="_Ref29385"/>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bookmarkEnd w:id="6"/>
      <w:bookmarkEnd w:id="7"/>
      <w:r>
        <w:rPr>
          <w:sz w:val="18"/>
          <w:szCs w:val="18"/>
        </w:rPr>
        <w:t xml:space="preserve">: ACK/NACK subcarrier and </w:t>
      </w:r>
      <w:r>
        <w:rPr>
          <w:position w:val="-10"/>
          <w:sz w:val="18"/>
          <w:szCs w:val="18"/>
        </w:rPr>
        <w:object w:dxaOrig="288" w:dyaOrig="288">
          <v:shape id="_x0000_i1136" type="#_x0000_t75" style="width:14.4pt;height:14.4pt" o:ole="">
            <v:imagedata r:id="rId11" o:title=""/>
          </v:shape>
          <o:OLEObject Type="Embed" ProgID="Equation.3" ShapeID="_x0000_i1136" DrawAspect="Content" ObjectID="_1753278805" r:id="rId16"/>
        </w:object>
      </w:r>
      <w:r>
        <w:rPr>
          <w:sz w:val="18"/>
          <w:szCs w:val="18"/>
        </w:rPr>
        <w:t xml:space="preserve">for NPUSCH with subcarrier spacing </w:t>
      </w:r>
      <w:r>
        <w:rPr>
          <w:position w:val="-10"/>
          <w:sz w:val="18"/>
          <w:szCs w:val="18"/>
        </w:rPr>
        <w:object w:dxaOrig="1152" w:dyaOrig="288">
          <v:shape id="_x0000_i1137" type="#_x0000_t75" style="width:57.6pt;height:14.4pt" o:ole="">
            <v:imagedata r:id="rId17" o:title=""/>
          </v:shape>
          <o:OLEObject Type="Embed" ProgID="Equation.3" ShapeID="_x0000_i1137" DrawAspect="Content" ObjectID="_1753278806" r:id="rId18"/>
        </w:object>
      </w:r>
      <w:r>
        <w:rPr>
          <w:sz w:val="18"/>
          <w:szCs w:val="18"/>
        </w:rPr>
        <w:t>.</w:t>
      </w:r>
    </w:p>
    <w:tbl>
      <w:tblPr>
        <w:tblW w:w="0" w:type="auto"/>
        <w:jc w:val="center"/>
        <w:tblCellMar>
          <w:left w:w="0" w:type="dxa"/>
          <w:right w:w="0" w:type="dxa"/>
        </w:tblCellMar>
        <w:tblLook w:val="04A0" w:firstRow="1" w:lastRow="0" w:firstColumn="1" w:lastColumn="0" w:noHBand="0" w:noVBand="1"/>
      </w:tblPr>
      <w:tblGrid>
        <w:gridCol w:w="1968"/>
        <w:gridCol w:w="2327"/>
        <w:gridCol w:w="415"/>
      </w:tblGrid>
      <w:tr w:rsidR="00BB0E75" w:rsidTr="007813F4">
        <w:trPr>
          <w:cantSplit/>
          <w:jc w:val="center"/>
        </w:trPr>
        <w:tc>
          <w:tcPr>
            <w:tcW w:w="1968" w:type="dxa"/>
            <w:tcBorders>
              <w:top w:val="single" w:sz="8" w:space="0" w:color="auto"/>
              <w:left w:val="single" w:sz="8" w:space="0" w:color="auto"/>
              <w:bottom w:val="single" w:sz="8" w:space="0" w:color="auto"/>
              <w:right w:val="single" w:sz="8" w:space="0" w:color="auto"/>
            </w:tcBorders>
            <w:shd w:val="clear" w:color="auto" w:fill="E0E0E0"/>
            <w:vAlign w:val="center"/>
          </w:tcPr>
          <w:p w:rsidR="00BB0E75" w:rsidRDefault="00BB0E75" w:rsidP="007813F4">
            <w:pPr>
              <w:pStyle w:val="TAH"/>
              <w:rPr>
                <w:rFonts w:cs="Arial"/>
                <w:b w:val="0"/>
                <w:bCs/>
                <w:sz w:val="16"/>
                <w:szCs w:val="16"/>
              </w:rPr>
            </w:pPr>
            <w:r>
              <w:rPr>
                <w:rFonts w:cs="Arial"/>
                <w:bCs/>
                <w:sz w:val="16"/>
                <w:szCs w:val="16"/>
              </w:rPr>
              <w:t>ACK/NACK resource field</w:t>
            </w:r>
          </w:p>
        </w:tc>
        <w:tc>
          <w:tcPr>
            <w:tcW w:w="2327" w:type="dxa"/>
            <w:tcBorders>
              <w:top w:val="single" w:sz="8" w:space="0" w:color="auto"/>
              <w:left w:val="single" w:sz="8" w:space="0" w:color="auto"/>
              <w:bottom w:val="single" w:sz="8" w:space="0" w:color="auto"/>
              <w:right w:val="single" w:sz="8" w:space="0" w:color="auto"/>
            </w:tcBorders>
            <w:shd w:val="clear" w:color="auto" w:fill="E0E0E0"/>
            <w:vAlign w:val="center"/>
          </w:tcPr>
          <w:p w:rsidR="00BB0E75" w:rsidRDefault="00BB0E75" w:rsidP="007813F4">
            <w:pPr>
              <w:pStyle w:val="TAH"/>
              <w:rPr>
                <w:rFonts w:cs="Arial"/>
                <w:bCs/>
                <w:sz w:val="16"/>
                <w:szCs w:val="16"/>
              </w:rPr>
            </w:pPr>
            <w:r>
              <w:rPr>
                <w:rFonts w:cs="Arial"/>
                <w:bCs/>
                <w:sz w:val="16"/>
                <w:szCs w:val="16"/>
              </w:rPr>
              <w:t>ACK/NACK subcarrier</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B0E75" w:rsidRDefault="00BB0E75" w:rsidP="007813F4">
            <w:pPr>
              <w:pStyle w:val="TAH"/>
              <w:rPr>
                <w:rFonts w:eastAsia="MS Mincho" w:cs="Arial"/>
                <w:b w:val="0"/>
                <w:bCs/>
                <w:i/>
                <w:iCs/>
                <w:sz w:val="16"/>
                <w:szCs w:val="16"/>
                <w:lang w:eastAsia="ja-JP"/>
              </w:rPr>
            </w:pPr>
            <w:r>
              <w:rPr>
                <w:rFonts w:cs="Arial" w:hint="eastAsia"/>
                <w:bCs/>
                <w:sz w:val="16"/>
                <w:szCs w:val="16"/>
              </w:rPr>
              <w:object w:dxaOrig="288" w:dyaOrig="288">
                <v:shape id="_x0000_i1138" type="#_x0000_t75" style="width:14.4pt;height:14.4pt" o:ole="">
                  <v:imagedata r:id="rId11" o:title=""/>
                </v:shape>
                <o:OLEObject Type="Embed" ProgID="Equation.3" ShapeID="_x0000_i1138" DrawAspect="Content" ObjectID="_1753278807" r:id="rId19"/>
              </w:objec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0</w:t>
            </w:r>
          </w:p>
        </w:tc>
        <w:tc>
          <w:tcPr>
            <w:tcW w:w="2742" w:type="dxa"/>
            <w:gridSpan w:val="2"/>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highlight w:val="yellow"/>
                <w:lang w:eastAsia="ja-JP"/>
              </w:rPr>
            </w:pPr>
            <w:r>
              <w:rPr>
                <w:rFonts w:ascii="Arial" w:eastAsia="MS Mincho" w:hAnsi="Arial"/>
                <w:iCs/>
                <w:sz w:val="16"/>
                <w:szCs w:val="16"/>
                <w:highlight w:val="yellow"/>
                <w:lang w:eastAsia="ja-JP"/>
              </w:rPr>
              <w:t>DCI-based overridden/direct indication</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1</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39</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13</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2</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40</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13</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3</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41</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hAnsi="Arial"/>
                <w:sz w:val="16"/>
                <w:szCs w:val="16"/>
              </w:rPr>
            </w:pPr>
            <w:r>
              <w:rPr>
                <w:rFonts w:ascii="Arial" w:eastAsia="MS Mincho" w:hAnsi="Arial"/>
                <w:iCs/>
                <w:sz w:val="16"/>
                <w:szCs w:val="16"/>
                <w:lang w:eastAsia="ja-JP"/>
              </w:rPr>
              <w:t>13</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42</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13</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5</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43</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13</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6</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44</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13</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shd w:val="clear" w:color="auto" w:fill="auto"/>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7</w:t>
            </w:r>
          </w:p>
        </w:tc>
        <w:tc>
          <w:tcPr>
            <w:tcW w:w="2327" w:type="dxa"/>
            <w:tcBorders>
              <w:top w:val="single" w:sz="4" w:space="0" w:color="auto"/>
              <w:left w:val="single" w:sz="8" w:space="0" w:color="auto"/>
              <w:bottom w:val="single" w:sz="4" w:space="0" w:color="auto"/>
              <w:right w:val="single" w:sz="8" w:space="0" w:color="auto"/>
            </w:tcBorders>
            <w:shd w:val="clear" w:color="auto" w:fill="auto"/>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45</w:t>
            </w:r>
          </w:p>
        </w:tc>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13</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8</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38</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21</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9</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39</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21</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10</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40</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21</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11</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41</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21</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12</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42</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21</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13</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43</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21</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14</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44</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MS Mincho" w:hAnsi="Arial"/>
                <w:iCs/>
                <w:sz w:val="16"/>
                <w:szCs w:val="16"/>
                <w:lang w:eastAsia="ja-JP"/>
              </w:rPr>
            </w:pPr>
            <w:r>
              <w:rPr>
                <w:rFonts w:ascii="Arial" w:eastAsia="MS Mincho" w:hAnsi="Arial"/>
                <w:iCs/>
                <w:sz w:val="16"/>
                <w:szCs w:val="16"/>
                <w:lang w:eastAsia="ja-JP"/>
              </w:rPr>
              <w:t>21</w:t>
            </w:r>
          </w:p>
        </w:tc>
      </w:tr>
      <w:tr w:rsidR="00BB0E75" w:rsidTr="007813F4">
        <w:trPr>
          <w:cantSplit/>
          <w:jc w:val="center"/>
        </w:trPr>
        <w:tc>
          <w:tcPr>
            <w:tcW w:w="1968" w:type="dxa"/>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宋体" w:hAnsi="Arial"/>
                <w:iCs/>
                <w:sz w:val="16"/>
                <w:szCs w:val="16"/>
              </w:rPr>
            </w:pPr>
            <w:r>
              <w:rPr>
                <w:rFonts w:ascii="Arial" w:eastAsia="宋体" w:hAnsi="Arial" w:hint="eastAsia"/>
                <w:iCs/>
                <w:sz w:val="16"/>
                <w:szCs w:val="16"/>
              </w:rPr>
              <w:t>15</w:t>
            </w:r>
          </w:p>
        </w:tc>
        <w:tc>
          <w:tcPr>
            <w:tcW w:w="2327" w:type="dxa"/>
            <w:tcBorders>
              <w:top w:val="single" w:sz="4" w:space="0" w:color="auto"/>
              <w:left w:val="single" w:sz="8" w:space="0" w:color="auto"/>
              <w:bottom w:val="single" w:sz="4" w:space="0" w:color="auto"/>
              <w:right w:val="single" w:sz="8" w:space="0" w:color="auto"/>
            </w:tcBorders>
          </w:tcPr>
          <w:p w:rsidR="00BB0E75" w:rsidRDefault="00BB0E75" w:rsidP="007813F4">
            <w:pPr>
              <w:keepNext/>
              <w:keepLines/>
              <w:spacing w:after="0"/>
              <w:jc w:val="center"/>
              <w:rPr>
                <w:rFonts w:ascii="Arial" w:eastAsia="宋体" w:hAnsi="Arial"/>
                <w:iCs/>
                <w:sz w:val="16"/>
                <w:szCs w:val="16"/>
              </w:rPr>
            </w:pPr>
            <w:r>
              <w:rPr>
                <w:rFonts w:ascii="Arial" w:eastAsia="宋体" w:hAnsi="Arial" w:hint="eastAsia"/>
                <w:iCs/>
                <w:sz w:val="16"/>
                <w:szCs w:val="16"/>
              </w:rPr>
              <w:t>45</w:t>
            </w:r>
          </w:p>
        </w:tc>
        <w:tc>
          <w:tcPr>
            <w:tcW w:w="0" w:type="auto"/>
            <w:tcBorders>
              <w:top w:val="single" w:sz="4" w:space="0" w:color="auto"/>
              <w:left w:val="single" w:sz="8" w:space="0" w:color="auto"/>
              <w:bottom w:val="single" w:sz="4" w:space="0" w:color="auto"/>
              <w:right w:val="single" w:sz="8" w:space="0" w:color="auto"/>
            </w:tcBorders>
            <w:vAlign w:val="center"/>
          </w:tcPr>
          <w:p w:rsidR="00BB0E75" w:rsidRDefault="00BB0E75" w:rsidP="007813F4">
            <w:pPr>
              <w:keepNext/>
              <w:keepLines/>
              <w:spacing w:after="0"/>
              <w:jc w:val="center"/>
              <w:rPr>
                <w:rFonts w:ascii="Arial" w:eastAsia="宋体" w:hAnsi="Arial"/>
                <w:iCs/>
                <w:sz w:val="16"/>
                <w:szCs w:val="16"/>
              </w:rPr>
            </w:pPr>
            <w:r>
              <w:rPr>
                <w:rFonts w:ascii="Arial" w:eastAsia="宋体" w:hAnsi="Arial" w:hint="eastAsia"/>
                <w:iCs/>
                <w:sz w:val="16"/>
                <w:szCs w:val="16"/>
              </w:rPr>
              <w:t>21</w:t>
            </w:r>
          </w:p>
        </w:tc>
      </w:tr>
    </w:tbl>
    <w:p w:rsidR="002F0DDA" w:rsidRDefault="00A77DDA">
      <w:pPr>
        <w:numPr>
          <w:ilvl w:val="3"/>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w:t>
      </w:r>
      <w:proofErr w:type="spellStart"/>
      <w:r>
        <w:rPr>
          <w:rFonts w:ascii="Times New Roman" w:eastAsia="宋体" w:hAnsi="Times New Roman" w:cs="Times New Roman" w:hint="eastAsia"/>
          <w:sz w:val="20"/>
          <w:szCs w:val="20"/>
        </w:rPr>
        <w:t>eMTC</w:t>
      </w:r>
      <w:proofErr w:type="spellEnd"/>
      <w:r>
        <w:rPr>
          <w:rFonts w:ascii="Times New Roman" w:eastAsia="宋体" w:hAnsi="Times New Roman" w:cs="Times New Roman" w:hint="eastAsia"/>
          <w:sz w:val="20"/>
          <w:szCs w:val="20"/>
        </w:rPr>
        <w:t>, we should know ECCE is indexed per EPDCCH set in legacy specification</w:t>
      </w:r>
      <w:r>
        <w:rPr>
          <w:rFonts w:ascii="Times New Roman" w:eastAsia="宋体" w:hAnsi="Times New Roman" w:cs="Times New Roman" w:hint="eastAsia"/>
          <w:sz w:val="20"/>
          <w:szCs w:val="20"/>
        </w:rPr>
        <w:fldChar w:fldCharType="begin"/>
      </w:r>
      <w:r>
        <w:rPr>
          <w:rFonts w:ascii="Times New Roman" w:eastAsia="宋体" w:hAnsi="Times New Roman" w:cs="Times New Roman"/>
          <w:sz w:val="20"/>
          <w:szCs w:val="20"/>
        </w:rPr>
        <w:instrText xml:space="preserve"> REF _Ref26000 \r \h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8245C1">
        <w:rPr>
          <w:rFonts w:ascii="Times New Roman" w:eastAsia="宋体" w:hAnsi="Times New Roman" w:cs="Times New Roman"/>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This causes duplications of indices among ECCEs which are located in the different EPDCCH sets. As ECCEs which have the same indices increase, PUCCH resources implicitly determined by the indices collide more frequently. In order to avoid the blocking pr</w:t>
      </w:r>
      <w:r>
        <w:rPr>
          <w:rFonts w:ascii="Times New Roman" w:eastAsia="宋体" w:hAnsi="Times New Roman" w:cs="Times New Roman" w:hint="eastAsia"/>
          <w:sz w:val="20"/>
          <w:szCs w:val="20"/>
        </w:rPr>
        <w:t xml:space="preserve">obability of PUCCH, ACK/NACK Resource offset field in DCI format 6-1B is defined to indicate the offset of PUCCH resource. For example, if the same ECCE index is used for the EPDCCH transmission, the PUCCH resource index is shifted by the value associated </w:t>
      </w:r>
      <w:r>
        <w:rPr>
          <w:rFonts w:ascii="Times New Roman" w:eastAsia="宋体" w:hAnsi="Times New Roman" w:cs="Times New Roman" w:hint="eastAsia"/>
          <w:sz w:val="20"/>
          <w:szCs w:val="20"/>
        </w:rPr>
        <w:t xml:space="preserve">with of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m:t>
            </m:r>
          </m:e>
          <m:sub>
            <m:r>
              <m:rPr>
                <m:sty m:val="p"/>
              </m:rPr>
              <w:rPr>
                <w:rFonts w:ascii="Cambria Math" w:eastAsia="宋体" w:hAnsi="Cambria Math" w:cs="Times New Roman" w:hint="eastAsia"/>
                <w:sz w:val="20"/>
                <w:szCs w:val="20"/>
              </w:rPr>
              <m:t>ARO</m:t>
            </m:r>
          </m:sub>
        </m:sSub>
      </m:oMath>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m:t>
            </m:r>
          </m:e>
          <m:sub>
            <m:r>
              <m:rPr>
                <m:sty m:val="p"/>
              </m:rPr>
              <w:rPr>
                <w:rFonts w:ascii="Cambria Math" w:eastAsia="宋体" w:hAnsi="Cambria Math" w:cs="Times New Roman" w:hint="eastAsia"/>
                <w:sz w:val="20"/>
                <w:szCs w:val="20"/>
              </w:rPr>
              <m:t>ARO</m:t>
            </m:r>
          </m:sub>
        </m:sSub>
      </m:oMath>
      <w:r>
        <w:rPr>
          <w:rFonts w:ascii="Times New Roman" w:eastAsia="宋体" w:hAnsi="Times New Roman" w:cs="Times New Roman" w:hint="eastAsia"/>
          <w:sz w:val="20"/>
          <w:szCs w:val="20"/>
        </w:rPr>
        <w:t xml:space="preserve">=0 implies that when there is </w:t>
      </w:r>
      <w:r>
        <w:rPr>
          <w:rFonts w:ascii="Times New Roman" w:eastAsia="宋体" w:hAnsi="Times New Roman" w:cs="Times New Roman" w:hint="eastAsia"/>
          <w:sz w:val="20"/>
          <w:szCs w:val="20"/>
        </w:rPr>
        <w:t>no need to resolve resource collision, for example, no overlap between PUCCH regions. The other values of</w:t>
      </w:r>
      <w:r>
        <w:rPr>
          <w:rFonts w:ascii="Times New Roman" w:eastAsia="宋体" w:hAnsi="Times New Roman" w:cs="Times New Roman" w:hint="eastAsia"/>
          <w:sz w:val="20"/>
          <w:szCs w:val="20"/>
        </w:rPr>
        <w:t xml:space="preserve">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m:t>
            </m:r>
          </m:e>
          <m:sub>
            <m:r>
              <m:rPr>
                <m:sty m:val="p"/>
              </m:rPr>
              <w:rPr>
                <w:rFonts w:ascii="Cambria Math" w:eastAsia="宋体" w:hAnsi="Cambria Math" w:cs="Times New Roman" w:hint="eastAsia"/>
                <w:sz w:val="20"/>
                <w:szCs w:val="20"/>
              </w:rPr>
              <m:t>ARO</m:t>
            </m:r>
          </m:sub>
        </m:sSub>
      </m:oMath>
      <w:r>
        <w:rPr>
          <w:rFonts w:ascii="Times New Roman" w:eastAsia="宋体" w:hAnsi="Times New Roman" w:cs="Times New Roman" w:hint="eastAsia"/>
          <w:sz w:val="20"/>
          <w:szCs w:val="20"/>
        </w:rPr>
        <w:t xml:space="preserve">  corresponds to different offsets of PUCCH regions to avoid collisions when PUCCH regions are overlapped with each other.</w:t>
      </w:r>
    </w:p>
    <w:p w:rsidR="002F0DDA" w:rsidRPr="00C02529" w:rsidRDefault="00F92D3B">
      <w:pPr>
        <w:numPr>
          <w:ilvl w:val="3"/>
          <w:numId w:val="0"/>
        </w:numPr>
        <w:spacing w:beforeLines="50" w:before="120" w:afterLines="50" w:after="120" w:line="240" w:lineRule="auto"/>
        <w:jc w:val="both"/>
        <w:rPr>
          <w:rFonts w:ascii="Times New Roman" w:eastAsia="宋体" w:hAnsi="Times New Roman" w:cs="Times New Roman"/>
          <w:sz w:val="20"/>
          <w:szCs w:val="20"/>
        </w:rPr>
      </w:pPr>
      <w:r w:rsidRPr="00C02529">
        <w:rPr>
          <w:rFonts w:ascii="Times New Roman" w:eastAsia="宋体" w:hAnsi="Times New Roman" w:cs="Times New Roman"/>
          <w:sz w:val="20"/>
          <w:szCs w:val="20"/>
        </w:rPr>
        <w:t xml:space="preserve">Regarding on </w:t>
      </w:r>
      <w:r w:rsidR="00A77DDA" w:rsidRPr="00C02529">
        <w:rPr>
          <w:rFonts w:ascii="Times New Roman" w:eastAsia="宋体" w:hAnsi="Times New Roman" w:cs="Times New Roman"/>
          <w:sz w:val="20"/>
          <w:szCs w:val="20"/>
        </w:rPr>
        <w:t xml:space="preserve">how to implement </w:t>
      </w:r>
      <w:r w:rsidR="00A77DDA" w:rsidRPr="00C02529">
        <w:rPr>
          <w:rFonts w:ascii="Times New Roman" w:eastAsia="宋体" w:hAnsi="Times New Roman" w:cs="Times New Roman"/>
          <w:sz w:val="20"/>
          <w:szCs w:val="20"/>
        </w:rPr>
        <w:t>DCI based overridden/direct indication</w:t>
      </w:r>
      <w:r w:rsidR="00A77DDA" w:rsidRPr="00C02529">
        <w:rPr>
          <w:rFonts w:ascii="Times New Roman" w:eastAsia="宋体" w:hAnsi="Times New Roman" w:cs="Times New Roman"/>
          <w:sz w:val="20"/>
          <w:szCs w:val="20"/>
        </w:rPr>
        <w:t xml:space="preserve"> for </w:t>
      </w:r>
      <w:proofErr w:type="spellStart"/>
      <w:r w:rsidR="00A77DDA" w:rsidRPr="00C02529">
        <w:rPr>
          <w:rFonts w:ascii="Times New Roman" w:eastAsia="宋体" w:hAnsi="Times New Roman" w:cs="Times New Roman"/>
          <w:sz w:val="20"/>
          <w:szCs w:val="20"/>
        </w:rPr>
        <w:t>eMTC</w:t>
      </w:r>
      <w:proofErr w:type="spellEnd"/>
      <w:r w:rsidR="00A77DDA" w:rsidRPr="00C02529">
        <w:rPr>
          <w:rFonts w:ascii="Times New Roman" w:eastAsia="宋体" w:hAnsi="Times New Roman" w:cs="Times New Roman"/>
          <w:sz w:val="20"/>
          <w:szCs w:val="20"/>
        </w:rPr>
        <w:t>,</w:t>
      </w:r>
      <w:r w:rsidR="00A77DDA" w:rsidRPr="00C02529">
        <w:rPr>
          <w:rFonts w:ascii="Times New Roman" w:eastAsia="宋体" w:hAnsi="Times New Roman" w:cs="Times New Roman"/>
          <w:sz w:val="20"/>
          <w:szCs w:val="20"/>
        </w:rPr>
        <w:t xml:space="preserve"> similar to NB-IoT, as shown in </w:t>
      </w:r>
      <w:r w:rsidR="00A77DDA" w:rsidRPr="00C02529">
        <w:rPr>
          <w:rFonts w:ascii="Times New Roman" w:eastAsia="宋体" w:hAnsi="Times New Roman" w:cs="Times New Roman"/>
          <w:sz w:val="20"/>
          <w:szCs w:val="20"/>
        </w:rPr>
        <w:fldChar w:fldCharType="begin"/>
      </w:r>
      <w:r w:rsidR="00A77DDA" w:rsidRPr="00C02529">
        <w:rPr>
          <w:rFonts w:ascii="Times New Roman" w:eastAsia="宋体" w:hAnsi="Times New Roman" w:cs="Times New Roman"/>
          <w:sz w:val="20"/>
          <w:szCs w:val="20"/>
        </w:rPr>
        <w:instrText xml:space="preserve"> REF _Ref26801 \h </w:instrText>
      </w:r>
      <w:r w:rsidR="00A77DDA" w:rsidRPr="00C02529">
        <w:rPr>
          <w:rFonts w:ascii="Times New Roman" w:eastAsia="宋体" w:hAnsi="Times New Roman" w:cs="Times New Roman"/>
          <w:sz w:val="20"/>
          <w:szCs w:val="20"/>
        </w:rPr>
      </w:r>
      <w:r w:rsidR="00C02529" w:rsidRPr="00C02529">
        <w:rPr>
          <w:rFonts w:ascii="Times New Roman" w:eastAsia="宋体" w:hAnsi="Times New Roman" w:cs="Times New Roman"/>
          <w:sz w:val="20"/>
          <w:szCs w:val="20"/>
        </w:rPr>
        <w:instrText xml:space="preserve"> \* MERGEFORMAT </w:instrText>
      </w:r>
      <w:r w:rsidR="00A77DDA" w:rsidRPr="00C02529">
        <w:rPr>
          <w:rFonts w:ascii="Times New Roman" w:eastAsia="宋体" w:hAnsi="Times New Roman" w:cs="Times New Roman"/>
          <w:sz w:val="20"/>
          <w:szCs w:val="20"/>
        </w:rPr>
        <w:fldChar w:fldCharType="separate"/>
      </w:r>
      <w:r w:rsidR="008245C1" w:rsidRPr="00C02529">
        <w:rPr>
          <w:rFonts w:ascii="Times New Roman" w:hAnsi="Times New Roman" w:cs="Times New Roman"/>
          <w:sz w:val="20"/>
          <w:szCs w:val="20"/>
        </w:rPr>
        <w:t>Table 3</w:t>
      </w:r>
      <w:r w:rsidR="00A77DDA" w:rsidRPr="00C02529">
        <w:rPr>
          <w:rFonts w:ascii="Times New Roman" w:eastAsia="宋体" w:hAnsi="Times New Roman" w:cs="Times New Roman"/>
          <w:sz w:val="20"/>
          <w:szCs w:val="20"/>
        </w:rPr>
        <w:fldChar w:fldCharType="end"/>
      </w:r>
      <w:r w:rsidR="00A77DDA" w:rsidRPr="00C02529">
        <w:rPr>
          <w:rFonts w:ascii="Times New Roman" w:eastAsia="宋体" w:hAnsi="Times New Roman" w:cs="Times New Roman"/>
          <w:sz w:val="20"/>
          <w:szCs w:val="20"/>
        </w:rPr>
        <w:t>, one of four state in HARQ-ACK resource offset in DCI format 6-1B could be used for DCI</w:t>
      </w:r>
      <w:r w:rsidR="00A77DDA" w:rsidRPr="00C02529">
        <w:rPr>
          <w:rFonts w:ascii="Times New Roman" w:eastAsia="宋体" w:hAnsi="Times New Roman" w:cs="Times New Roman"/>
          <w:sz w:val="20"/>
          <w:szCs w:val="20"/>
        </w:rPr>
        <w:t xml:space="preserve"> based overridden indication. </w:t>
      </w:r>
      <w:r w:rsidR="00A77DDA" w:rsidRPr="00C02529">
        <w:rPr>
          <w:rFonts w:ascii="Times New Roman" w:eastAsia="宋体" w:hAnsi="Times New Roman" w:cs="Times New Roman"/>
          <w:sz w:val="20"/>
          <w:szCs w:val="20"/>
        </w:rPr>
        <w:t>Moreover, b</w:t>
      </w:r>
      <w:r w:rsidR="00A77DDA" w:rsidRPr="00C02529">
        <w:rPr>
          <w:rFonts w:ascii="Times New Roman" w:eastAsia="宋体" w:hAnsi="Times New Roman" w:cs="Times New Roman"/>
          <w:sz w:val="20"/>
          <w:szCs w:val="20"/>
        </w:rPr>
        <w:t xml:space="preserve">ased on above </w:t>
      </w:r>
      <w:r w:rsidR="00A77DDA" w:rsidRPr="00C02529">
        <w:rPr>
          <w:rFonts w:ascii="Times New Roman" w:eastAsia="宋体" w:hAnsi="Times New Roman" w:cs="Times New Roman"/>
          <w:sz w:val="20"/>
          <w:szCs w:val="20"/>
        </w:rPr>
        <w:t>design principle</w:t>
      </w:r>
      <w:r w:rsidR="00A77DDA" w:rsidRPr="00C02529">
        <w:rPr>
          <w:rFonts w:ascii="Times New Roman" w:eastAsia="宋体" w:hAnsi="Times New Roman" w:cs="Times New Roman"/>
          <w:sz w:val="20"/>
          <w:szCs w:val="20"/>
        </w:rPr>
        <w:t xml:space="preserve">, we </w:t>
      </w:r>
      <w:r w:rsidR="00A77DDA" w:rsidRPr="00C02529">
        <w:rPr>
          <w:rFonts w:ascii="Times New Roman" w:eastAsia="宋体" w:hAnsi="Times New Roman" w:cs="Times New Roman"/>
          <w:sz w:val="20"/>
          <w:szCs w:val="20"/>
        </w:rPr>
        <w:t xml:space="preserve">can </w:t>
      </w:r>
      <w:r w:rsidR="0070701A" w:rsidRPr="00C02529">
        <w:rPr>
          <w:rFonts w:ascii="Times New Roman" w:eastAsia="宋体" w:hAnsi="Times New Roman" w:cs="Times New Roman"/>
          <w:sz w:val="20"/>
          <w:szCs w:val="20"/>
        </w:rPr>
        <w:t>understand</w:t>
      </w:r>
      <w:r w:rsidR="00A77DDA" w:rsidRPr="00C02529">
        <w:rPr>
          <w:rFonts w:ascii="Times New Roman" w:eastAsia="宋体" w:hAnsi="Times New Roman" w:cs="Times New Roman"/>
          <w:sz w:val="20"/>
          <w:szCs w:val="20"/>
        </w:rPr>
        <w:t xml:space="preserve"> </w:t>
      </w:r>
      <w:r w:rsidR="00A77DDA" w:rsidRPr="00C02529">
        <w:rPr>
          <w:rFonts w:ascii="Times New Roman" w:eastAsia="宋体" w:hAnsi="Times New Roman" w:cs="Times New Roman"/>
          <w:sz w:val="20"/>
          <w:szCs w:val="20"/>
        </w:rPr>
        <w:t xml:space="preserve">that there are two </w:t>
      </w:r>
      <w:r w:rsidR="00A77DDA" w:rsidRPr="00C02529">
        <w:rPr>
          <w:rFonts w:ascii="Times New Roman" w:eastAsia="宋体" w:hAnsi="Times New Roman" w:cs="Times New Roman"/>
          <w:sz w:val="20"/>
          <w:szCs w:val="20"/>
        </w:rPr>
        <w:t xml:space="preserve">types of </w:t>
      </w:r>
      <m:oMath>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m:t>
            </m:r>
          </m:e>
          <m:sub>
            <m:r>
              <m:rPr>
                <m:sty m:val="p"/>
              </m:rPr>
              <w:rPr>
                <w:rFonts w:ascii="Cambria Math" w:eastAsia="宋体" w:hAnsi="Cambria Math" w:cs="Times New Roman"/>
                <w:sz w:val="20"/>
                <w:szCs w:val="20"/>
              </w:rPr>
              <m:t>ARO</m:t>
            </m:r>
          </m:sub>
        </m:sSub>
      </m:oMath>
      <w:r w:rsidR="00A77DDA" w:rsidRPr="00C02529">
        <w:rPr>
          <w:rFonts w:ascii="Times New Roman" w:eastAsia="宋体" w:hAnsi="Times New Roman" w:cs="Times New Roman"/>
          <w:sz w:val="20"/>
          <w:szCs w:val="20"/>
        </w:rPr>
        <w:t>:</w:t>
      </w:r>
      <w:r w:rsidR="00A77DDA" w:rsidRPr="00C02529">
        <w:rPr>
          <w:rFonts w:ascii="Times New Roman" w:eastAsia="宋体" w:hAnsi="Times New Roman" w:cs="Times New Roman"/>
          <w:sz w:val="20"/>
          <w:szCs w:val="20"/>
        </w:rPr>
        <w:t xml:space="preserve"> </w:t>
      </w:r>
      <w:r w:rsidR="00A77DDA" w:rsidRPr="00C02529">
        <w:rPr>
          <w:rFonts w:ascii="Times New Roman" w:eastAsia="宋体" w:hAnsi="Times New Roman" w:cs="Times New Roman"/>
          <w:sz w:val="20"/>
          <w:szCs w:val="20"/>
        </w:rPr>
        <w:t xml:space="preserve">one for collision </w:t>
      </w:r>
      <w:r w:rsidR="00A77DDA" w:rsidRPr="00C02529">
        <w:rPr>
          <w:rFonts w:ascii="Times New Roman" w:eastAsia="宋体" w:hAnsi="Times New Roman" w:cs="Times New Roman"/>
          <w:sz w:val="20"/>
          <w:szCs w:val="20"/>
        </w:rPr>
        <w:t xml:space="preserve">handling and the other for </w:t>
      </w:r>
      <w:r w:rsidR="0070701A" w:rsidRPr="00C02529">
        <w:rPr>
          <w:rFonts w:ascii="Times New Roman" w:eastAsia="宋体" w:hAnsi="Times New Roman" w:cs="Times New Roman"/>
          <w:sz w:val="20"/>
          <w:szCs w:val="20"/>
        </w:rPr>
        <w:t>non-collision</w:t>
      </w:r>
      <w:r w:rsidR="00A77DDA" w:rsidRPr="00C02529">
        <w:rPr>
          <w:rFonts w:ascii="Times New Roman" w:eastAsia="宋体" w:hAnsi="Times New Roman" w:cs="Times New Roman"/>
          <w:sz w:val="20"/>
          <w:szCs w:val="20"/>
        </w:rPr>
        <w:t xml:space="preserve"> handling. </w:t>
      </w:r>
      <w:r w:rsidR="00A77DDA" w:rsidRPr="00C02529">
        <w:rPr>
          <w:rFonts w:ascii="Times New Roman" w:eastAsia="宋体" w:hAnsi="Times New Roman" w:cs="Times New Roman"/>
          <w:sz w:val="20"/>
          <w:szCs w:val="20"/>
        </w:rPr>
        <w:t>For simplicity</w:t>
      </w:r>
      <w:r w:rsidR="00A77DDA" w:rsidRPr="00C02529">
        <w:rPr>
          <w:rFonts w:ascii="Times New Roman" w:eastAsia="宋体" w:hAnsi="Times New Roman" w:cs="Times New Roman"/>
          <w:sz w:val="20"/>
          <w:szCs w:val="20"/>
        </w:rPr>
        <w:t xml:space="preserve">, state 0 can be used for the DCI-based overridden indication. Meanwhile, state A should be same for different UEs to avoid frequent configuration that increases signaling overhead. </w:t>
      </w:r>
    </w:p>
    <w:p w:rsidR="002F0DDA" w:rsidRDefault="002F0DDA">
      <w:pPr>
        <w:pStyle w:val="a3"/>
        <w:rPr>
          <w:sz w:val="18"/>
          <w:szCs w:val="18"/>
        </w:rPr>
      </w:pPr>
      <w:bookmarkStart w:id="8" w:name="_Ref692"/>
    </w:p>
    <w:p w:rsidR="002F0DDA" w:rsidRDefault="00A77DDA">
      <w:pPr>
        <w:pStyle w:val="a3"/>
        <w:rPr>
          <w:sz w:val="18"/>
          <w:szCs w:val="18"/>
        </w:rPr>
      </w:pPr>
      <w:bookmarkStart w:id="9" w:name="_Ref26801"/>
      <w:bookmarkEnd w:id="8"/>
      <w:r>
        <w:rPr>
          <w:sz w:val="18"/>
          <w:szCs w:val="18"/>
        </w:rPr>
        <w:lastRenderedPageBreak/>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bookmarkEnd w:id="9"/>
      <w:r>
        <w:rPr>
          <w:sz w:val="18"/>
          <w:szCs w:val="18"/>
        </w:rPr>
        <w:t xml:space="preserve">: Mapping of ACK/NACK Resource offset Field </w:t>
      </w:r>
      <w:r>
        <w:rPr>
          <w:sz w:val="18"/>
          <w:szCs w:val="18"/>
        </w:rPr>
        <w:br/>
        <w:t xml:space="preserve">in DCI format 1A/1B/1D/1/2A/2/2B/2C/2D/6-1A/6-1B to </w:t>
      </w:r>
      <w:r>
        <w:rPr>
          <w:noProof/>
          <w:position w:val="-12"/>
          <w:sz w:val="18"/>
          <w:szCs w:val="18"/>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2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4325" cy="209550"/>
                    </a:xfrm>
                    <a:prstGeom prst="rect">
                      <a:avLst/>
                    </a:prstGeom>
                    <a:noFill/>
                    <a:ln>
                      <a:noFill/>
                    </a:ln>
                  </pic:spPr>
                </pic:pic>
              </a:graphicData>
            </a:graphic>
          </wp:inline>
        </w:drawing>
      </w:r>
      <w:r>
        <w:rPr>
          <w:sz w:val="18"/>
          <w:szCs w:val="18"/>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938"/>
      </w:tblGrid>
      <w:tr w:rsidR="002F0DDA">
        <w:trPr>
          <w:cantSplit/>
          <w:jc w:val="center"/>
        </w:trPr>
        <w:tc>
          <w:tcPr>
            <w:tcW w:w="0" w:type="auto"/>
            <w:shd w:val="clear" w:color="auto" w:fill="E0E0E0"/>
            <w:vAlign w:val="center"/>
          </w:tcPr>
          <w:p w:rsidR="002F0DDA" w:rsidRDefault="00A77DDA">
            <w:pPr>
              <w:pStyle w:val="TAH"/>
              <w:rPr>
                <w:rFonts w:cs="Arial"/>
                <w:bCs/>
                <w:sz w:val="16"/>
                <w:szCs w:val="16"/>
              </w:rPr>
            </w:pPr>
            <w:r>
              <w:rPr>
                <w:rFonts w:cs="Arial"/>
                <w:bCs/>
                <w:sz w:val="16"/>
                <w:szCs w:val="16"/>
              </w:rPr>
              <w:t xml:space="preserve">ACK/NACK Resource offset field </w:t>
            </w:r>
            <w:r>
              <w:rPr>
                <w:rFonts w:cs="Arial"/>
                <w:bCs/>
                <w:sz w:val="16"/>
                <w:szCs w:val="16"/>
              </w:rPr>
              <w:br/>
              <w:t>in DCI format 1A/1B/1D/1/2A/2/2B/2C/2D/6-1A/6-1B</w:t>
            </w:r>
          </w:p>
        </w:tc>
        <w:tc>
          <w:tcPr>
            <w:tcW w:w="0" w:type="auto"/>
            <w:shd w:val="clear" w:color="auto" w:fill="E0E0E0"/>
            <w:vAlign w:val="center"/>
          </w:tcPr>
          <w:p w:rsidR="002F0DDA" w:rsidRDefault="00A77DDA">
            <w:pPr>
              <w:pStyle w:val="TAH"/>
              <w:rPr>
                <w:rFonts w:cs="Arial"/>
                <w:bCs/>
                <w:sz w:val="16"/>
                <w:szCs w:val="16"/>
              </w:rPr>
            </w:pPr>
            <w:r>
              <w:rPr>
                <w:rFonts w:cs="Arial"/>
                <w:bCs/>
                <w:noProof/>
                <w:sz w:val="16"/>
                <w:szCs w:val="16"/>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4325" cy="209550"/>
                          </a:xfrm>
                          <a:prstGeom prst="rect">
                            <a:avLst/>
                          </a:prstGeom>
                          <a:noFill/>
                          <a:ln>
                            <a:noFill/>
                          </a:ln>
                        </pic:spPr>
                      </pic:pic>
                    </a:graphicData>
                  </a:graphic>
                </wp:inline>
              </w:drawing>
            </w:r>
          </w:p>
        </w:tc>
      </w:tr>
      <w:tr w:rsidR="002F0DDA">
        <w:trPr>
          <w:cantSplit/>
          <w:jc w:val="center"/>
        </w:trPr>
        <w:tc>
          <w:tcPr>
            <w:tcW w:w="0" w:type="auto"/>
            <w:shd w:val="clear" w:color="auto" w:fill="FFFF00"/>
            <w:vAlign w:val="center"/>
          </w:tcPr>
          <w:p w:rsidR="002F0DDA" w:rsidRDefault="00A77DDA">
            <w:pPr>
              <w:pStyle w:val="TAC"/>
              <w:rPr>
                <w:sz w:val="16"/>
                <w:szCs w:val="16"/>
                <w:highlight w:val="yellow"/>
              </w:rPr>
            </w:pPr>
            <w:r>
              <w:rPr>
                <w:sz w:val="16"/>
                <w:szCs w:val="16"/>
                <w:highlight w:val="yellow"/>
              </w:rPr>
              <w:t>0</w:t>
            </w:r>
          </w:p>
        </w:tc>
        <w:tc>
          <w:tcPr>
            <w:tcW w:w="0" w:type="auto"/>
            <w:shd w:val="clear" w:color="auto" w:fill="FFFF00"/>
            <w:vAlign w:val="center"/>
          </w:tcPr>
          <w:p w:rsidR="002F0DDA" w:rsidRDefault="00A77DDA">
            <w:pPr>
              <w:pStyle w:val="TAC"/>
              <w:rPr>
                <w:sz w:val="16"/>
                <w:szCs w:val="16"/>
                <w:highlight w:val="yellow"/>
              </w:rPr>
            </w:pPr>
            <w:r>
              <w:rPr>
                <w:rFonts w:eastAsia="宋体"/>
                <w:iCs/>
                <w:sz w:val="16"/>
                <w:szCs w:val="16"/>
                <w:highlight w:val="yellow"/>
              </w:rPr>
              <w:t>DCI</w:t>
            </w:r>
            <w:r>
              <w:rPr>
                <w:rFonts w:eastAsia="宋体" w:hint="eastAsia"/>
                <w:iCs/>
                <w:sz w:val="16"/>
                <w:szCs w:val="16"/>
                <w:highlight w:val="yellow"/>
              </w:rPr>
              <w:t>-based</w:t>
            </w:r>
            <w:r>
              <w:rPr>
                <w:rFonts w:eastAsia="宋体"/>
                <w:iCs/>
                <w:sz w:val="16"/>
                <w:szCs w:val="16"/>
                <w:highlight w:val="yellow"/>
              </w:rPr>
              <w:t xml:space="preserve"> overridden</w:t>
            </w:r>
            <w:r>
              <w:rPr>
                <w:rFonts w:eastAsia="宋体" w:hint="eastAsia"/>
                <w:iCs/>
                <w:sz w:val="16"/>
                <w:szCs w:val="16"/>
                <w:highlight w:val="yellow"/>
              </w:rPr>
              <w:t>/direct</w:t>
            </w:r>
            <w:r>
              <w:rPr>
                <w:rFonts w:eastAsia="宋体"/>
                <w:iCs/>
                <w:sz w:val="16"/>
                <w:szCs w:val="16"/>
                <w:highlight w:val="yellow"/>
              </w:rPr>
              <w:t xml:space="preserve"> indication</w:t>
            </w:r>
          </w:p>
        </w:tc>
      </w:tr>
      <w:tr w:rsidR="002F0DDA">
        <w:trPr>
          <w:cantSplit/>
          <w:jc w:val="center"/>
        </w:trPr>
        <w:tc>
          <w:tcPr>
            <w:tcW w:w="0" w:type="auto"/>
            <w:vAlign w:val="center"/>
          </w:tcPr>
          <w:p w:rsidR="002F0DDA" w:rsidRDefault="00A77DDA">
            <w:pPr>
              <w:pStyle w:val="TAC"/>
              <w:rPr>
                <w:sz w:val="16"/>
                <w:szCs w:val="16"/>
              </w:rPr>
            </w:pPr>
            <w:r>
              <w:rPr>
                <w:sz w:val="16"/>
                <w:szCs w:val="16"/>
              </w:rPr>
              <w:t>1</w:t>
            </w:r>
          </w:p>
        </w:tc>
        <w:tc>
          <w:tcPr>
            <w:tcW w:w="0" w:type="auto"/>
            <w:vAlign w:val="center"/>
          </w:tcPr>
          <w:p w:rsidR="002F0DDA" w:rsidRDefault="00A77DDA">
            <w:pPr>
              <w:pStyle w:val="TAC"/>
              <w:rPr>
                <w:sz w:val="16"/>
                <w:szCs w:val="16"/>
              </w:rPr>
            </w:pPr>
            <w:r>
              <w:rPr>
                <w:sz w:val="16"/>
                <w:szCs w:val="16"/>
              </w:rPr>
              <w:t>-1</w:t>
            </w:r>
          </w:p>
        </w:tc>
      </w:tr>
      <w:tr w:rsidR="002F0DDA">
        <w:trPr>
          <w:cantSplit/>
          <w:jc w:val="center"/>
        </w:trPr>
        <w:tc>
          <w:tcPr>
            <w:tcW w:w="0" w:type="auto"/>
            <w:vAlign w:val="center"/>
          </w:tcPr>
          <w:p w:rsidR="002F0DDA" w:rsidRDefault="00A77DDA">
            <w:pPr>
              <w:pStyle w:val="TAC"/>
              <w:rPr>
                <w:sz w:val="16"/>
                <w:szCs w:val="16"/>
              </w:rPr>
            </w:pPr>
            <w:r>
              <w:rPr>
                <w:sz w:val="16"/>
                <w:szCs w:val="16"/>
              </w:rPr>
              <w:t>2</w:t>
            </w:r>
          </w:p>
        </w:tc>
        <w:tc>
          <w:tcPr>
            <w:tcW w:w="0" w:type="auto"/>
            <w:vAlign w:val="center"/>
          </w:tcPr>
          <w:p w:rsidR="002F0DDA" w:rsidRDefault="00A77DDA">
            <w:pPr>
              <w:pStyle w:val="TAC"/>
              <w:rPr>
                <w:sz w:val="16"/>
                <w:szCs w:val="16"/>
              </w:rPr>
            </w:pPr>
            <w:r>
              <w:rPr>
                <w:sz w:val="16"/>
                <w:szCs w:val="16"/>
              </w:rPr>
              <w:t>-2</w:t>
            </w:r>
          </w:p>
        </w:tc>
      </w:tr>
      <w:tr w:rsidR="002F0DDA">
        <w:trPr>
          <w:cantSplit/>
          <w:jc w:val="center"/>
        </w:trPr>
        <w:tc>
          <w:tcPr>
            <w:tcW w:w="0" w:type="auto"/>
            <w:vAlign w:val="center"/>
          </w:tcPr>
          <w:p w:rsidR="002F0DDA" w:rsidRDefault="00A77DDA">
            <w:pPr>
              <w:pStyle w:val="TAC"/>
              <w:rPr>
                <w:sz w:val="16"/>
                <w:szCs w:val="16"/>
              </w:rPr>
            </w:pPr>
            <w:r>
              <w:rPr>
                <w:sz w:val="16"/>
                <w:szCs w:val="16"/>
              </w:rPr>
              <w:t>3</w:t>
            </w:r>
          </w:p>
        </w:tc>
        <w:tc>
          <w:tcPr>
            <w:tcW w:w="0" w:type="auto"/>
            <w:vAlign w:val="center"/>
          </w:tcPr>
          <w:p w:rsidR="002F0DDA" w:rsidRDefault="00A77DDA">
            <w:pPr>
              <w:pStyle w:val="TAC"/>
              <w:rPr>
                <w:sz w:val="16"/>
                <w:szCs w:val="16"/>
              </w:rPr>
            </w:pPr>
            <w:r>
              <w:rPr>
                <w:sz w:val="16"/>
                <w:szCs w:val="16"/>
              </w:rPr>
              <w:t>2</w:t>
            </w:r>
          </w:p>
        </w:tc>
      </w:tr>
    </w:tbl>
    <w:p w:rsidR="002F0DDA" w:rsidRDefault="00A77DDA">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b/>
          <w:i/>
          <w:sz w:val="20"/>
          <w:szCs w:val="20"/>
        </w:rPr>
        <w:t xml:space="preserve"> 1</w:t>
      </w:r>
      <w:r>
        <w:rPr>
          <w:rFonts w:ascii="Times New Roman" w:eastAsia="宋体" w:hAnsi="Times New Roman"/>
          <w:bCs/>
          <w:i/>
          <w:sz w:val="20"/>
          <w:szCs w:val="20"/>
        </w:rPr>
        <w:t xml:space="preserve">: For 15kHz subcarrier spacing configuration in NB-IoT, state </w:t>
      </w:r>
      <w:r>
        <w:rPr>
          <w:rFonts w:ascii="Times New Roman" w:eastAsia="宋体" w:hAnsi="Times New Roman" w:hint="eastAsia"/>
          <w:bCs/>
          <w:i/>
          <w:sz w:val="20"/>
          <w:szCs w:val="20"/>
        </w:rPr>
        <w:t>3</w:t>
      </w:r>
      <w:r>
        <w:rPr>
          <w:rFonts w:ascii="Times New Roman" w:eastAsia="宋体" w:hAnsi="Times New Roman"/>
          <w:bCs/>
          <w:i/>
          <w:sz w:val="20"/>
          <w:szCs w:val="20"/>
        </w:rPr>
        <w:t xml:space="preserve"> of “HARQ-ACK resource” field in DCI format N1 should be defined as state A to indicate DCI overridden/direct indication, which should be same among different UEs.</w:t>
      </w:r>
    </w:p>
    <w:p w:rsidR="002F0DDA" w:rsidRDefault="00A77DDA">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 2</w:t>
      </w:r>
      <w:r>
        <w:rPr>
          <w:rFonts w:ascii="Times New Roman" w:eastAsia="宋体" w:hAnsi="Times New Roman"/>
          <w:bCs/>
          <w:i/>
          <w:sz w:val="20"/>
          <w:szCs w:val="20"/>
        </w:rPr>
        <w:t xml:space="preserve">: For 3.75kHz </w:t>
      </w:r>
      <w:r>
        <w:rPr>
          <w:rFonts w:ascii="Times New Roman" w:eastAsia="宋体" w:hAnsi="Times New Roman"/>
          <w:bCs/>
          <w:i/>
          <w:sz w:val="20"/>
          <w:szCs w:val="20"/>
        </w:rPr>
        <w:t xml:space="preserve">subcarrier spacing configuration in NB-IoT, state </w:t>
      </w:r>
      <w:r>
        <w:rPr>
          <w:rFonts w:ascii="Times New Roman" w:eastAsia="宋体" w:hAnsi="Times New Roman" w:hint="eastAsia"/>
          <w:bCs/>
          <w:i/>
          <w:sz w:val="20"/>
          <w:szCs w:val="20"/>
        </w:rPr>
        <w:t>0</w:t>
      </w:r>
      <w:r>
        <w:rPr>
          <w:rFonts w:ascii="Times New Roman" w:eastAsia="宋体" w:hAnsi="Times New Roman"/>
          <w:bCs/>
          <w:i/>
          <w:sz w:val="20"/>
          <w:szCs w:val="20"/>
        </w:rPr>
        <w:t xml:space="preserve"> of “HARQ-ACK resource” field in DCI format N1 should be defined as state A to indicate DCI overridden/direct indication, which should be same among different UEs.</w:t>
      </w:r>
    </w:p>
    <w:p w:rsidR="002F0DDA" w:rsidRDefault="00A77DDA">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 3</w:t>
      </w:r>
      <w:r>
        <w:rPr>
          <w:rFonts w:ascii="Times New Roman" w:eastAsia="宋体" w:hAnsi="Times New Roman"/>
          <w:bCs/>
          <w:i/>
          <w:sz w:val="20"/>
          <w:szCs w:val="20"/>
        </w:rPr>
        <w:t xml:space="preserve">: In </w:t>
      </w:r>
      <w:proofErr w:type="spellStart"/>
      <w:r>
        <w:rPr>
          <w:rFonts w:ascii="Times New Roman" w:eastAsia="宋体" w:hAnsi="Times New Roman"/>
          <w:bCs/>
          <w:i/>
          <w:sz w:val="20"/>
          <w:szCs w:val="20"/>
        </w:rPr>
        <w:t>eMTC</w:t>
      </w:r>
      <w:proofErr w:type="spellEnd"/>
      <w:r>
        <w:rPr>
          <w:rFonts w:ascii="Times New Roman" w:eastAsia="宋体" w:hAnsi="Times New Roman"/>
          <w:bCs/>
          <w:i/>
          <w:sz w:val="20"/>
          <w:szCs w:val="20"/>
        </w:rPr>
        <w:t xml:space="preserve"> </w:t>
      </w:r>
      <w:r>
        <w:rPr>
          <w:rFonts w:ascii="Times New Roman" w:eastAsia="宋体" w:hAnsi="Times New Roman" w:cs="Times New Roman"/>
          <w:i/>
          <w:sz w:val="20"/>
          <w:szCs w:val="20"/>
        </w:rPr>
        <w:t>CE mode B</w:t>
      </w:r>
      <w:r>
        <w:rPr>
          <w:rFonts w:ascii="Times New Roman" w:eastAsia="宋体" w:hAnsi="Times New Roman"/>
          <w:bCs/>
          <w:i/>
          <w:sz w:val="20"/>
          <w:szCs w:val="20"/>
        </w:rPr>
        <w:t>, state 0 of</w:t>
      </w:r>
      <w:r>
        <w:rPr>
          <w:rFonts w:ascii="Times New Roman" w:eastAsia="宋体" w:hAnsi="Times New Roman"/>
          <w:bCs/>
          <w:i/>
          <w:sz w:val="20"/>
          <w:szCs w:val="20"/>
        </w:rPr>
        <w:t xml:space="preserve"> “HARQ-ACK resource offset” field in DCI format 6-1B should be defined as state A to indicate DCI overridden/direct indication, which should be same among different UEs.</w:t>
      </w:r>
    </w:p>
    <w:p w:rsidR="002F0DDA" w:rsidRDefault="00A77DDA">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Cs/>
          <w:iCs/>
          <w:sz w:val="20"/>
          <w:szCs w:val="20"/>
        </w:rPr>
        <w:t>In RAN1 #113</w:t>
      </w:r>
      <w:r>
        <w:rPr>
          <w:rFonts w:ascii="Times New Roman" w:eastAsia="宋体" w:hAnsi="Times New Roman" w:hint="eastAsia"/>
          <w:bCs/>
          <w:iCs/>
          <w:sz w:val="20"/>
          <w:szCs w:val="20"/>
        </w:rPr>
        <w:fldChar w:fldCharType="begin"/>
      </w:r>
      <w:r>
        <w:rPr>
          <w:rFonts w:ascii="Times New Roman" w:eastAsia="宋体" w:hAnsi="Times New Roman" w:hint="eastAsia"/>
          <w:bCs/>
          <w:iCs/>
          <w:sz w:val="20"/>
          <w:szCs w:val="20"/>
        </w:rPr>
        <w:instrText xml:space="preserve"> REF _Ref29548 \r \h </w:instrText>
      </w:r>
      <w:r>
        <w:rPr>
          <w:rFonts w:ascii="Times New Roman" w:eastAsia="宋体" w:hAnsi="Times New Roman" w:hint="eastAsia"/>
          <w:bCs/>
          <w:iCs/>
          <w:sz w:val="20"/>
          <w:szCs w:val="20"/>
        </w:rPr>
      </w:r>
      <w:r>
        <w:rPr>
          <w:rFonts w:ascii="Times New Roman" w:eastAsia="宋体" w:hAnsi="Times New Roman" w:hint="eastAsia"/>
          <w:bCs/>
          <w:iCs/>
          <w:sz w:val="20"/>
          <w:szCs w:val="20"/>
        </w:rPr>
        <w:fldChar w:fldCharType="separate"/>
      </w:r>
      <w:r>
        <w:rPr>
          <w:rFonts w:ascii="Times New Roman" w:eastAsia="宋体" w:hAnsi="Times New Roman" w:hint="eastAsia"/>
          <w:bCs/>
          <w:iCs/>
          <w:sz w:val="20"/>
          <w:szCs w:val="20"/>
        </w:rPr>
        <w:t>[1]</w:t>
      </w:r>
      <w:r>
        <w:rPr>
          <w:rFonts w:ascii="Times New Roman" w:eastAsia="宋体" w:hAnsi="Times New Roman" w:hint="eastAsia"/>
          <w:bCs/>
          <w:iCs/>
          <w:sz w:val="20"/>
          <w:szCs w:val="20"/>
        </w:rPr>
        <w:fldChar w:fldCharType="end"/>
      </w:r>
      <w:r>
        <w:rPr>
          <w:rFonts w:ascii="Times New Roman" w:eastAsia="宋体" w:hAnsi="Times New Roman" w:hint="eastAsia"/>
          <w:bCs/>
          <w:iCs/>
          <w:sz w:val="20"/>
          <w:szCs w:val="20"/>
        </w:rPr>
        <w:t xml:space="preserve">, DCI-based overridden mechanism/indication and DCI-based HARQ enabling/disabling direct indication in multiple TBs scheduled by single DCI </w:t>
      </w:r>
      <w:r>
        <w:rPr>
          <w:rFonts w:ascii="Times New Roman" w:eastAsia="宋体" w:hAnsi="Times New Roman"/>
          <w:bCs/>
          <w:iCs/>
          <w:sz w:val="20"/>
          <w:szCs w:val="20"/>
        </w:rPr>
        <w:t>were</w:t>
      </w:r>
      <w:r>
        <w:rPr>
          <w:rFonts w:ascii="Times New Roman" w:eastAsia="宋体" w:hAnsi="Times New Roman" w:hint="eastAsia"/>
          <w:bCs/>
          <w:iCs/>
          <w:sz w:val="20"/>
          <w:szCs w:val="20"/>
        </w:rPr>
        <w:t xml:space="preserve"> discussed </w:t>
      </w:r>
      <w:r>
        <w:rPr>
          <w:rFonts w:ascii="Times New Roman" w:eastAsia="宋体" w:hAnsi="Times New Roman"/>
          <w:bCs/>
          <w:iCs/>
          <w:sz w:val="20"/>
          <w:szCs w:val="20"/>
        </w:rPr>
        <w:t xml:space="preserve">with potential solution </w:t>
      </w:r>
      <w:r>
        <w:rPr>
          <w:rFonts w:ascii="Times New Roman" w:eastAsia="宋体" w:hAnsi="Times New Roman" w:hint="eastAsia"/>
          <w:bCs/>
          <w:iCs/>
          <w:sz w:val="20"/>
          <w:szCs w:val="20"/>
        </w:rPr>
        <w:t xml:space="preserve">and agreement </w:t>
      </w:r>
      <w:r>
        <w:rPr>
          <w:rFonts w:ascii="Times New Roman" w:eastAsia="宋体" w:hAnsi="Times New Roman"/>
          <w:bCs/>
          <w:iCs/>
          <w:sz w:val="20"/>
          <w:szCs w:val="20"/>
        </w:rPr>
        <w:t>captured in the FL summary as follows:</w:t>
      </w:r>
    </w:p>
    <w:tbl>
      <w:tblPr>
        <w:tblStyle w:val="af3"/>
        <w:tblW w:w="0" w:type="auto"/>
        <w:tblLook w:val="04A0" w:firstRow="1" w:lastRow="0" w:firstColumn="1" w:lastColumn="0" w:noHBand="0" w:noVBand="1"/>
      </w:tblPr>
      <w:tblGrid>
        <w:gridCol w:w="9350"/>
      </w:tblGrid>
      <w:tr w:rsidR="002F0DDA">
        <w:tc>
          <w:tcPr>
            <w:tcW w:w="9350" w:type="dxa"/>
          </w:tcPr>
          <w:p w:rsidR="002F0DDA" w:rsidRDefault="00A77DDA">
            <w:pPr>
              <w:spacing w:beforeLines="50" w:before="120" w:afterLines="50" w:after="120"/>
              <w:rPr>
                <w:rFonts w:ascii="Times New Roman" w:hAnsi="Times New Roman" w:cs="Times New Roman"/>
                <w:b/>
                <w:bCs/>
                <w:iCs/>
                <w:sz w:val="20"/>
                <w:szCs w:val="20"/>
                <w:highlight w:val="lightGray"/>
              </w:rPr>
            </w:pPr>
            <w:r>
              <w:rPr>
                <w:rFonts w:ascii="Times New Roman" w:hAnsi="Times New Roman" w:cs="Times New Roman" w:hint="eastAsia"/>
                <w:b/>
                <w:bCs/>
                <w:iCs/>
                <w:sz w:val="20"/>
                <w:szCs w:val="20"/>
                <w:highlight w:val="lightGray"/>
              </w:rPr>
              <w:t xml:space="preserve">[Proposal </w:t>
            </w:r>
            <w:r>
              <w:rPr>
                <w:rFonts w:ascii="Times New Roman" w:hAnsi="Times New Roman" w:cs="Times New Roman" w:hint="eastAsia"/>
                <w:b/>
                <w:bCs/>
                <w:iCs/>
                <w:sz w:val="20"/>
                <w:szCs w:val="20"/>
                <w:highlight w:val="lightGray"/>
              </w:rPr>
              <w:t>1-5a]</w:t>
            </w:r>
          </w:p>
          <w:p w:rsidR="002F0DDA" w:rsidRDefault="00A77DDA">
            <w:pPr>
              <w:spacing w:beforeLines="50" w:before="120" w:after="0" w:line="260" w:lineRule="auto"/>
              <w:rPr>
                <w:rFonts w:ascii="Times New Roman" w:hAnsi="Times New Roman" w:cs="Times New Roman"/>
                <w:sz w:val="20"/>
                <w:szCs w:val="20"/>
              </w:rPr>
            </w:pPr>
            <w:r>
              <w:rPr>
                <w:rFonts w:ascii="Times New Roman" w:hAnsi="Times New Roman" w:cs="Times New Roman"/>
                <w:sz w:val="20"/>
                <w:szCs w:val="20"/>
              </w:rPr>
              <w:t>For multiple TBs scheduled by single DCI, the DCI based overridden indication with single indication is applied to one of the following options:</w:t>
            </w:r>
          </w:p>
          <w:p w:rsidR="002F0DDA" w:rsidRDefault="00A77DDA">
            <w:pPr>
              <w:pStyle w:val="af7"/>
              <w:numPr>
                <w:ilvl w:val="0"/>
                <w:numId w:val="9"/>
              </w:numPr>
              <w:spacing w:after="0" w:line="240" w:lineRule="auto"/>
              <w:ind w:leftChars="200" w:left="440" w:firstLine="400"/>
              <w:rPr>
                <w:rFonts w:ascii="Times New Roman" w:hAnsi="Times New Roman"/>
                <w:sz w:val="20"/>
                <w:szCs w:val="20"/>
              </w:rPr>
            </w:pPr>
            <w:r>
              <w:rPr>
                <w:rFonts w:ascii="Times New Roman" w:hAnsi="Times New Roman"/>
                <w:sz w:val="20"/>
                <w:szCs w:val="20"/>
              </w:rPr>
              <w:t>Option 1-a: all scheduled TBs</w:t>
            </w:r>
          </w:p>
          <w:p w:rsidR="002F0DDA" w:rsidRDefault="00A77DDA">
            <w:pPr>
              <w:pStyle w:val="af7"/>
              <w:numPr>
                <w:ilvl w:val="0"/>
                <w:numId w:val="9"/>
              </w:numPr>
              <w:spacing w:after="0" w:line="240" w:lineRule="auto"/>
              <w:ind w:leftChars="200" w:left="440" w:firstLine="400"/>
              <w:rPr>
                <w:rFonts w:ascii="Times New Roman" w:hAnsi="Times New Roman"/>
                <w:sz w:val="20"/>
                <w:szCs w:val="20"/>
              </w:rPr>
            </w:pPr>
            <w:r>
              <w:rPr>
                <w:rFonts w:ascii="Times New Roman" w:hAnsi="Times New Roman"/>
                <w:sz w:val="20"/>
                <w:szCs w:val="20"/>
              </w:rPr>
              <w:t xml:space="preserve">Option 1-b: subset of scheduled TBs (e.g., first TBs, configured HARQ </w:t>
            </w:r>
            <w:r>
              <w:rPr>
                <w:rFonts w:ascii="Times New Roman" w:hAnsi="Times New Roman"/>
                <w:sz w:val="20"/>
                <w:szCs w:val="20"/>
              </w:rPr>
              <w:t>feedback enabled TBs, configured HARQ feedback disabled TBs or configured specific TBs determined by DCI indication)</w:t>
            </w:r>
          </w:p>
          <w:p w:rsidR="002F0DDA" w:rsidRDefault="00A77DDA">
            <w:pPr>
              <w:spacing w:beforeLines="50" w:before="120" w:afterLines="50" w:after="120"/>
              <w:rPr>
                <w:rFonts w:ascii="Times New Roman" w:hAnsi="Times New Roman" w:cs="Times New Roman"/>
                <w:b/>
                <w:bCs/>
                <w:iCs/>
                <w:sz w:val="20"/>
                <w:szCs w:val="20"/>
                <w:highlight w:val="green"/>
              </w:rPr>
            </w:pPr>
            <w:r>
              <w:rPr>
                <w:rFonts w:ascii="Times New Roman" w:hAnsi="Times New Roman" w:cs="Times New Roman" w:hint="eastAsia"/>
                <w:b/>
                <w:bCs/>
                <w:iCs/>
                <w:sz w:val="20"/>
                <w:szCs w:val="20"/>
                <w:highlight w:val="green"/>
              </w:rPr>
              <w:t>Agreement</w:t>
            </w:r>
          </w:p>
          <w:p w:rsidR="002F0DDA" w:rsidRDefault="00A77DDA">
            <w:pPr>
              <w:rPr>
                <w:rFonts w:ascii="Times New Roman" w:eastAsia="宋体" w:hAnsi="Times New Roman"/>
                <w:bCs/>
                <w:iCs/>
                <w:sz w:val="20"/>
                <w:szCs w:val="20"/>
              </w:rPr>
            </w:pPr>
            <w:r>
              <w:rPr>
                <w:rFonts w:ascii="Times New Roman" w:hAnsi="Times New Roman" w:cs="Times New Roman"/>
                <w:sz w:val="20"/>
                <w:szCs w:val="20"/>
              </w:rPr>
              <w:t>for NB-IoT and LTE-MTC in CE Mode B, if multiple TBs is configured, for DCI-based HARQ enabling/disabling direct indication in mu</w:t>
            </w:r>
            <w:r>
              <w:rPr>
                <w:rFonts w:ascii="Times New Roman" w:hAnsi="Times New Roman" w:cs="Times New Roman"/>
                <w:sz w:val="20"/>
                <w:szCs w:val="20"/>
              </w:rPr>
              <w:t xml:space="preserve">ltiple TBs scheduled by single DCI, the same indication is applied to all scheduled TBs, i.e. HARQ is enabled or disabled for all </w:t>
            </w:r>
            <w:proofErr w:type="spellStart"/>
            <w:r>
              <w:rPr>
                <w:rFonts w:ascii="Times New Roman" w:hAnsi="Times New Roman" w:cs="Times New Roman"/>
                <w:sz w:val="20"/>
                <w:szCs w:val="20"/>
              </w:rPr>
              <w:t>TBs.</w:t>
            </w:r>
            <w:proofErr w:type="spellEnd"/>
          </w:p>
        </w:tc>
      </w:tr>
    </w:tbl>
    <w:p w:rsidR="002F0DDA" w:rsidRDefault="00A77DDA">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Cs/>
          <w:iCs/>
          <w:sz w:val="20"/>
          <w:szCs w:val="20"/>
        </w:rPr>
        <w:t>In RAN1 #113</w:t>
      </w:r>
      <w:r>
        <w:rPr>
          <w:rFonts w:ascii="Times New Roman" w:eastAsia="宋体" w:hAnsi="Times New Roman" w:hint="eastAsia"/>
          <w:bCs/>
          <w:iCs/>
          <w:sz w:val="20"/>
          <w:szCs w:val="20"/>
        </w:rPr>
        <w:fldChar w:fldCharType="begin"/>
      </w:r>
      <w:r>
        <w:rPr>
          <w:rFonts w:ascii="Times New Roman" w:eastAsia="宋体" w:hAnsi="Times New Roman" w:hint="eastAsia"/>
          <w:bCs/>
          <w:iCs/>
          <w:sz w:val="20"/>
          <w:szCs w:val="20"/>
        </w:rPr>
        <w:instrText xml:space="preserve"> REF _Ref29548 \r \h </w:instrText>
      </w:r>
      <w:r>
        <w:rPr>
          <w:rFonts w:ascii="Times New Roman" w:eastAsia="宋体" w:hAnsi="Times New Roman" w:hint="eastAsia"/>
          <w:bCs/>
          <w:iCs/>
          <w:sz w:val="20"/>
          <w:szCs w:val="20"/>
        </w:rPr>
      </w:r>
      <w:r>
        <w:rPr>
          <w:rFonts w:ascii="Times New Roman" w:eastAsia="宋体" w:hAnsi="Times New Roman" w:hint="eastAsia"/>
          <w:bCs/>
          <w:iCs/>
          <w:sz w:val="20"/>
          <w:szCs w:val="20"/>
        </w:rPr>
        <w:fldChar w:fldCharType="separate"/>
      </w:r>
      <w:r>
        <w:rPr>
          <w:rFonts w:ascii="Times New Roman" w:eastAsia="宋体" w:hAnsi="Times New Roman" w:hint="eastAsia"/>
          <w:bCs/>
          <w:iCs/>
          <w:sz w:val="20"/>
          <w:szCs w:val="20"/>
        </w:rPr>
        <w:t>[1]</w:t>
      </w:r>
      <w:r>
        <w:rPr>
          <w:rFonts w:ascii="Times New Roman" w:eastAsia="宋体" w:hAnsi="Times New Roman" w:hint="eastAsia"/>
          <w:bCs/>
          <w:iCs/>
          <w:sz w:val="20"/>
          <w:szCs w:val="20"/>
        </w:rPr>
        <w:fldChar w:fldCharType="end"/>
      </w:r>
      <w:r>
        <w:rPr>
          <w:rFonts w:ascii="Times New Roman" w:eastAsia="宋体" w:hAnsi="Times New Roman" w:hint="eastAsia"/>
          <w:bCs/>
          <w:iCs/>
          <w:sz w:val="20"/>
          <w:szCs w:val="20"/>
        </w:rPr>
        <w:t>, same indication ha</w:t>
      </w:r>
      <w:r>
        <w:rPr>
          <w:rFonts w:ascii="Times New Roman" w:eastAsia="宋体" w:hAnsi="Times New Roman" w:hint="eastAsia"/>
          <w:bCs/>
          <w:iCs/>
          <w:sz w:val="20"/>
          <w:szCs w:val="20"/>
        </w:rPr>
        <w:t xml:space="preserve">s been agreed to indicate HARQ feedback enabled or disabled for all TBs scheduled by single DCI for </w:t>
      </w:r>
      <w:r>
        <w:rPr>
          <w:rFonts w:ascii="Times New Roman" w:hAnsi="Times New Roman" w:cs="Times New Roman"/>
          <w:sz w:val="20"/>
          <w:szCs w:val="20"/>
        </w:rPr>
        <w:t>DCI-based HARQ enabling/disabling direct indication</w:t>
      </w:r>
      <w:r>
        <w:rPr>
          <w:rFonts w:ascii="Times New Roman" w:eastAsia="宋体" w:hAnsi="Times New Roman" w:hint="eastAsia"/>
          <w:bCs/>
          <w:iCs/>
          <w:sz w:val="20"/>
          <w:szCs w:val="20"/>
        </w:rPr>
        <w:t xml:space="preserve">. In our understanding, for </w:t>
      </w:r>
      <w:r>
        <w:rPr>
          <w:rFonts w:ascii="Times New Roman" w:eastAsia="宋体" w:hAnsi="Times New Roman"/>
          <w:bCs/>
          <w:iCs/>
          <w:sz w:val="20"/>
          <w:szCs w:val="20"/>
        </w:rPr>
        <w:t>DCI-based overridden indication</w:t>
      </w:r>
      <w:r>
        <w:rPr>
          <w:rFonts w:ascii="Times New Roman" w:eastAsia="宋体" w:hAnsi="Times New Roman" w:hint="eastAsia"/>
          <w:bCs/>
          <w:iCs/>
          <w:sz w:val="20"/>
          <w:szCs w:val="20"/>
        </w:rPr>
        <w:t>, single indication can apply to all scheduled</w:t>
      </w:r>
      <w:r>
        <w:rPr>
          <w:rFonts w:ascii="Times New Roman" w:eastAsia="宋体" w:hAnsi="Times New Roman" w:hint="eastAsia"/>
          <w:bCs/>
          <w:iCs/>
          <w:sz w:val="20"/>
          <w:szCs w:val="20"/>
        </w:rPr>
        <w:t xml:space="preserve"> TB</w:t>
      </w:r>
      <w:r>
        <w:rPr>
          <w:rFonts w:ascii="Times New Roman" w:eastAsia="宋体" w:hAnsi="Times New Roman"/>
          <w:bCs/>
          <w:iCs/>
          <w:sz w:val="20"/>
          <w:szCs w:val="20"/>
        </w:rPr>
        <w:t>s</w:t>
      </w:r>
      <w:r>
        <w:rPr>
          <w:rFonts w:ascii="Times New Roman" w:eastAsia="宋体" w:hAnsi="Times New Roman" w:hint="eastAsia"/>
          <w:bCs/>
          <w:iCs/>
          <w:sz w:val="20"/>
          <w:szCs w:val="20"/>
        </w:rPr>
        <w:t xml:space="preserve"> regardless of whether the HARQ feedback is disabled or not by RRC configuration, which is a straightforward way with low complexity</w:t>
      </w:r>
      <w:r>
        <w:rPr>
          <w:rFonts w:ascii="Times New Roman" w:eastAsia="宋体" w:hAnsi="Times New Roman"/>
          <w:bCs/>
          <w:iCs/>
          <w:sz w:val="20"/>
          <w:szCs w:val="20"/>
        </w:rPr>
        <w:t xml:space="preserve">. </w:t>
      </w:r>
      <w:r>
        <w:rPr>
          <w:rFonts w:ascii="Times New Roman" w:eastAsia="宋体" w:hAnsi="Times New Roman" w:hint="eastAsia"/>
          <w:bCs/>
          <w:iCs/>
          <w:sz w:val="20"/>
          <w:szCs w:val="20"/>
        </w:rPr>
        <w:t>When</w:t>
      </w:r>
      <w:r>
        <w:rPr>
          <w:rFonts w:ascii="Times New Roman" w:eastAsia="宋体" w:hAnsi="Times New Roman"/>
          <w:bCs/>
          <w:iCs/>
          <w:sz w:val="20"/>
          <w:szCs w:val="20"/>
        </w:rPr>
        <w:t xml:space="preserve"> using other options, there will be more spec effort but no significant benefit. </w:t>
      </w:r>
      <w:r>
        <w:rPr>
          <w:rFonts w:ascii="Times New Roman" w:eastAsia="宋体" w:hAnsi="Times New Roman" w:hint="eastAsia"/>
          <w:bCs/>
          <w:iCs/>
          <w:sz w:val="20"/>
          <w:szCs w:val="20"/>
        </w:rPr>
        <w:t xml:space="preserve">Hence, in order to achieve a </w:t>
      </w:r>
      <w:r>
        <w:rPr>
          <w:rFonts w:ascii="Times New Roman" w:eastAsia="宋体" w:hAnsi="Times New Roman" w:hint="eastAsia"/>
          <w:bCs/>
          <w:iCs/>
          <w:sz w:val="20"/>
          <w:szCs w:val="20"/>
        </w:rPr>
        <w:t>unified design that minimizes the impact on standard, Option 1-a is more preferred.</w:t>
      </w:r>
    </w:p>
    <w:p w:rsidR="002F0DDA" w:rsidRDefault="00A77DDA">
      <w:pPr>
        <w:numPr>
          <w:ilvl w:val="7"/>
          <w:numId w:val="0"/>
        </w:numPr>
        <w:jc w:val="both"/>
        <w:rPr>
          <w:rFonts w:eastAsia="黑体" w:cs="Times New Roman"/>
          <w:b/>
          <w:bCs/>
          <w:sz w:val="28"/>
          <w:szCs w:val="3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4:</w:t>
      </w:r>
      <w:r>
        <w:rPr>
          <w:rFonts w:ascii="Times New Roman" w:eastAsia="宋体" w:hAnsi="Times New Roman" w:hint="eastAsia"/>
          <w:bCs/>
          <w:i/>
          <w:sz w:val="20"/>
          <w:szCs w:val="20"/>
        </w:rPr>
        <w:t xml:space="preserve"> </w:t>
      </w:r>
      <w:r>
        <w:rPr>
          <w:rFonts w:ascii="Times New Roman" w:hAnsi="Times New Roman" w:cs="Times New Roman"/>
          <w:i/>
          <w:sz w:val="20"/>
          <w:szCs w:val="20"/>
        </w:rPr>
        <w:t xml:space="preserve">For multiple TBs scheduled by single DCI, the DCI based overridden indication with single indication should be applied to all scheduled </w:t>
      </w:r>
      <w:proofErr w:type="spellStart"/>
      <w:r>
        <w:rPr>
          <w:rFonts w:ascii="Times New Roman" w:hAnsi="Times New Roman" w:cs="Times New Roman"/>
          <w:i/>
          <w:sz w:val="20"/>
          <w:szCs w:val="20"/>
        </w:rPr>
        <w:t>TBs.</w:t>
      </w:r>
      <w:proofErr w:type="spellEnd"/>
    </w:p>
    <w:p w:rsidR="002F0DDA" w:rsidRDefault="00A77DDA">
      <w:pPr>
        <w:pStyle w:val="1"/>
        <w:pBdr>
          <w:top w:val="none" w:sz="0" w:space="0" w:color="auto"/>
        </w:pBdr>
        <w:ind w:left="431" w:hanging="431"/>
        <w:rPr>
          <w:rFonts w:eastAsia="黑体" w:cs="Times New Roman"/>
          <w:b/>
          <w:bCs/>
          <w:sz w:val="28"/>
          <w:szCs w:val="30"/>
          <w:lang w:val="en-US"/>
        </w:rPr>
      </w:pPr>
      <w:r>
        <w:rPr>
          <w:rFonts w:eastAsia="黑体" w:cs="Times New Roman" w:hint="eastAsia"/>
          <w:b/>
          <w:bCs/>
          <w:sz w:val="28"/>
          <w:szCs w:val="30"/>
          <w:lang w:val="en-US"/>
        </w:rPr>
        <w:t>HARQ feedback for s</w:t>
      </w:r>
      <w:r>
        <w:rPr>
          <w:rFonts w:eastAsia="黑体" w:cs="Times New Roman" w:hint="eastAsia"/>
          <w:b/>
          <w:bCs/>
          <w:sz w:val="28"/>
          <w:szCs w:val="30"/>
          <w:lang w:val="en-US"/>
        </w:rPr>
        <w:t>cheduling multiple TBs</w:t>
      </w:r>
    </w:p>
    <w:p w:rsidR="002F0DDA" w:rsidRDefault="00A77DDA">
      <w:pPr>
        <w:numPr>
          <w:ilvl w:val="7"/>
          <w:numId w:val="0"/>
        </w:numPr>
        <w:spacing w:beforeLines="50" w:before="120" w:afterLines="50" w:after="120" w:line="240" w:lineRule="auto"/>
        <w:jc w:val="both"/>
        <w:rPr>
          <w:rFonts w:ascii="Times New Roman" w:eastAsia="宋体" w:hAnsi="Times New Roman" w:cs="Times New Roman"/>
          <w:sz w:val="20"/>
          <w:szCs w:val="20"/>
          <w:lang w:bidi="ar"/>
        </w:rPr>
      </w:pPr>
      <w:r>
        <w:rPr>
          <w:rFonts w:ascii="Times New Roman" w:eastAsia="宋体" w:hAnsi="Times New Roman" w:cs="Times New Roman"/>
          <w:sz w:val="20"/>
          <w:szCs w:val="20"/>
        </w:rPr>
        <w:t xml:space="preserve">The feature of </w:t>
      </w:r>
      <w:proofErr w:type="spellStart"/>
      <w:r>
        <w:rPr>
          <w:rFonts w:ascii="Times New Roman" w:eastAsia="宋体" w:hAnsi="Times New Roman" w:cs="Times New Roman" w:hint="eastAsia"/>
          <w:sz w:val="20"/>
          <w:szCs w:val="20"/>
        </w:rPr>
        <w:t>eMTC</w:t>
      </w:r>
      <w:proofErr w:type="spellEnd"/>
      <w:r>
        <w:rPr>
          <w:rFonts w:ascii="Times New Roman" w:eastAsia="宋体" w:hAnsi="Times New Roman" w:cs="Times New Roman" w:hint="eastAsia"/>
          <w:sz w:val="20"/>
          <w:szCs w:val="20"/>
        </w:rPr>
        <w:t>/NB-IoT multiple TB</w:t>
      </w:r>
      <w:r>
        <w:rPr>
          <w:rFonts w:ascii="Times New Roman" w:eastAsia="宋体" w:hAnsi="Times New Roman" w:cs="Times New Roman"/>
          <w:sz w:val="20"/>
          <w:szCs w:val="20"/>
        </w:rPr>
        <w: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scheduled by</w:t>
      </w:r>
      <w:r>
        <w:rPr>
          <w:rFonts w:ascii="Times New Roman" w:eastAsia="宋体" w:hAnsi="Times New Roman" w:cs="Times New Roman" w:hint="eastAsia"/>
          <w:sz w:val="20"/>
          <w:szCs w:val="20"/>
        </w:rPr>
        <w:t xml:space="preserve"> single DCI is introduced in Rel</w:t>
      </w:r>
      <w:r>
        <w:rPr>
          <w:rFonts w:ascii="Times New Roman" w:eastAsia="宋体" w:hAnsi="Times New Roman" w:cs="Times New Roman"/>
          <w:sz w:val="20"/>
          <w:szCs w:val="20"/>
        </w:rPr>
        <w:t>-</w:t>
      </w:r>
      <w:r>
        <w:rPr>
          <w:rFonts w:ascii="Times New Roman" w:eastAsia="宋体" w:hAnsi="Times New Roman" w:cs="Times New Roman" w:hint="eastAsia"/>
          <w:sz w:val="20"/>
          <w:szCs w:val="20"/>
        </w:rPr>
        <w:t>16. In RAN1#113 meeting, h</w:t>
      </w:r>
      <w:r>
        <w:rPr>
          <w:rFonts w:ascii="Times New Roman" w:eastAsia="宋体" w:hAnsi="Times New Roman" w:cs="Times New Roman"/>
          <w:sz w:val="20"/>
          <w:szCs w:val="20"/>
        </w:rPr>
        <w:t>ow to handle the case where part of TBs scheduled by single DCI are HARQ feedback disabled was</w:t>
      </w:r>
      <w:r>
        <w:rPr>
          <w:rFonts w:ascii="Times New Roman" w:eastAsia="宋体" w:hAnsi="Times New Roman" w:cs="Times New Roman" w:hint="eastAsia"/>
          <w:sz w:val="20"/>
          <w:szCs w:val="20"/>
          <w:lang w:bidi="ar"/>
        </w:rPr>
        <w:t xml:space="preserve"> discussed for further study</w:t>
      </w:r>
      <w:r>
        <w:rPr>
          <w:rFonts w:ascii="Times New Roman" w:eastAsia="宋体" w:hAnsi="Times New Roman" w:cs="Times New Roman" w:hint="eastAsia"/>
          <w:sz w:val="20"/>
          <w:szCs w:val="20"/>
          <w:lang w:bidi="ar"/>
        </w:rPr>
        <w:t xml:space="preserve">. </w:t>
      </w:r>
    </w:p>
    <w:p w:rsidR="002F0DDA" w:rsidRDefault="00A77DDA">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Firstly, </w:t>
      </w:r>
      <w:r>
        <w:rPr>
          <w:rFonts w:ascii="Times New Roman" w:eastAsia="宋体" w:hAnsi="Times New Roman" w:cs="Times New Roman" w:hint="eastAsia"/>
          <w:sz w:val="20"/>
          <w:szCs w:val="20"/>
        </w:rPr>
        <w:t>f</w:t>
      </w:r>
      <w:r>
        <w:rPr>
          <w:rFonts w:ascii="Times New Roman" w:eastAsia="宋体" w:hAnsi="Times New Roman" w:cs="Times New Roman" w:hint="eastAsia"/>
          <w:sz w:val="20"/>
          <w:szCs w:val="20"/>
          <w:lang w:bidi="ar"/>
        </w:rPr>
        <w:t xml:space="preserve">or multiple TBs scheduled by single DCI without HARQ bundling, it is possible that part of TBs </w:t>
      </w:r>
      <w:proofErr w:type="gramStart"/>
      <w:r>
        <w:rPr>
          <w:rFonts w:ascii="Times New Roman" w:eastAsia="宋体" w:hAnsi="Times New Roman" w:cs="Times New Roman" w:hint="eastAsia"/>
          <w:sz w:val="20"/>
          <w:szCs w:val="20"/>
          <w:lang w:bidi="ar"/>
        </w:rPr>
        <w:t>are</w:t>
      </w:r>
      <w:proofErr w:type="gramEnd"/>
      <w:r>
        <w:rPr>
          <w:rFonts w:ascii="Times New Roman" w:eastAsia="宋体" w:hAnsi="Times New Roman" w:cs="Times New Roman" w:hint="eastAsia"/>
          <w:sz w:val="20"/>
          <w:szCs w:val="20"/>
          <w:lang w:bidi="ar"/>
        </w:rPr>
        <w:t xml:space="preserve"> HARQ enabled process, while the others are HARQ disabled process, in this case, in order to save power consumption, UE should only report the </w:t>
      </w:r>
      <w:r>
        <w:rPr>
          <w:rFonts w:ascii="Times New Roman" w:eastAsia="宋体" w:hAnsi="Times New Roman" w:cs="Times New Roman" w:hint="eastAsia"/>
          <w:sz w:val="20"/>
          <w:szCs w:val="20"/>
          <w:lang w:bidi="ar"/>
        </w:rPr>
        <w:t>HARQ-ACK for the HARQ feedback enabled process.</w:t>
      </w:r>
    </w:p>
    <w:p w:rsidR="002F0DDA" w:rsidRDefault="00A77DDA">
      <w:pPr>
        <w:numPr>
          <w:ilvl w:val="3"/>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Secondly, in legacy specification</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_Ref24180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for NB-IoT, if the UE is configured with higher layer parameter </w:t>
      </w:r>
      <w:proofErr w:type="spellStart"/>
      <w:r>
        <w:rPr>
          <w:rFonts w:ascii="Times New Roman" w:eastAsia="宋体" w:hAnsi="Times New Roman" w:cs="Times New Roman" w:hint="eastAsia"/>
          <w:i/>
          <w:iCs/>
          <w:sz w:val="20"/>
          <w:szCs w:val="20"/>
        </w:rPr>
        <w:t>harq-AckBundling</w:t>
      </w:r>
      <w:proofErr w:type="spellEnd"/>
      <w:r>
        <w:rPr>
          <w:rFonts w:ascii="Times New Roman" w:eastAsia="宋体" w:hAnsi="Times New Roman" w:cs="Times New Roman" w:hint="eastAsia"/>
          <w:sz w:val="20"/>
          <w:szCs w:val="20"/>
        </w:rPr>
        <w:t xml:space="preserve"> in </w:t>
      </w:r>
      <w:proofErr w:type="spellStart"/>
      <w:r>
        <w:rPr>
          <w:rFonts w:ascii="Times New Roman" w:eastAsia="宋体" w:hAnsi="Times New Roman" w:cs="Times New Roman" w:hint="eastAsia"/>
          <w:i/>
          <w:iCs/>
          <w:sz w:val="20"/>
          <w:szCs w:val="20"/>
        </w:rPr>
        <w:t>np</w:t>
      </w:r>
      <w:r>
        <w:rPr>
          <w:rFonts w:ascii="Times New Roman" w:eastAsia="宋体" w:hAnsi="Times New Roman" w:cs="Times New Roman" w:hint="eastAsia"/>
          <w:i/>
          <w:iCs/>
          <w:sz w:val="20"/>
          <w:szCs w:val="20"/>
        </w:rPr>
        <w:t>dsch</w:t>
      </w:r>
      <w:proofErr w:type="spellEnd"/>
      <w:r>
        <w:rPr>
          <w:rFonts w:ascii="Times New Roman" w:eastAsia="宋体" w:hAnsi="Times New Roman" w:cs="Times New Roman" w:hint="eastAsia"/>
          <w:i/>
          <w:iCs/>
          <w:sz w:val="20"/>
          <w:szCs w:val="20"/>
        </w:rPr>
        <w:t>-</w:t>
      </w:r>
      <w:proofErr w:type="spellStart"/>
      <w:r>
        <w:rPr>
          <w:rFonts w:ascii="Times New Roman" w:eastAsia="宋体" w:hAnsi="Times New Roman" w:cs="Times New Roman" w:hint="eastAsia"/>
          <w:i/>
          <w:iCs/>
          <w:sz w:val="20"/>
          <w:szCs w:val="20"/>
        </w:rPr>
        <w:t>MultiTB</w:t>
      </w:r>
      <w:proofErr w:type="spellEnd"/>
      <w:r>
        <w:rPr>
          <w:rFonts w:ascii="Times New Roman" w:eastAsia="宋体" w:hAnsi="Times New Roman" w:cs="Times New Roman" w:hint="eastAsia"/>
          <w:i/>
          <w:iCs/>
          <w:sz w:val="20"/>
          <w:szCs w:val="20"/>
        </w:rPr>
        <w:t>-Config</w:t>
      </w:r>
      <w:r>
        <w:rPr>
          <w:rFonts w:ascii="Times New Roman" w:eastAsia="宋体" w:hAnsi="Times New Roman" w:cs="Times New Roman" w:hint="eastAsia"/>
          <w:sz w:val="20"/>
          <w:szCs w:val="20"/>
        </w:rPr>
        <w:t>, the ACK/NACK response is generated by performing a logical AND operation of HARQ-ACKs corresponding to the TB</w:t>
      </w:r>
      <w:r>
        <w:rPr>
          <w:rFonts w:ascii="Times New Roman" w:eastAsia="宋体" w:hAnsi="Times New Roman" w:cs="Times New Roman" w:hint="eastAsia"/>
          <w:sz w:val="20"/>
          <w:szCs w:val="20"/>
          <w:vertAlign w:val="subscript"/>
        </w:rPr>
        <w:t>r+</w:t>
      </w:r>
      <w:r>
        <w:rPr>
          <w:rFonts w:ascii="Times New Roman" w:eastAsia="宋体" w:hAnsi="Times New Roman" w:cs="Times New Roman"/>
          <w:sz w:val="20"/>
          <w:szCs w:val="20"/>
          <w:vertAlign w:val="subscript"/>
        </w:rPr>
        <w:t>1</w:t>
      </w:r>
      <w:r>
        <w:rPr>
          <w:rFonts w:ascii="Times New Roman" w:eastAsia="宋体" w:hAnsi="Times New Roman" w:cs="Times New Roman"/>
          <w:sz w:val="20"/>
          <w:szCs w:val="20"/>
        </w:rPr>
        <w:t xml:space="preserve">, </w:t>
      </w:r>
      <m:oMath>
        <m:r>
          <m:rPr>
            <m:sty m:val="p"/>
          </m:rPr>
          <w:rPr>
            <w:rFonts w:ascii="Cambria Math" w:eastAsia="宋体" w:hAnsi="Cambria Math" w:cs="Times New Roman"/>
            <w:sz w:val="20"/>
            <w:szCs w:val="20"/>
          </w:rPr>
          <m:t>r=0,1,...,</m:t>
        </m:r>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N</m:t>
            </m:r>
          </m:e>
          <m:sub>
            <m:r>
              <m:rPr>
                <m:sty m:val="p"/>
              </m:rPr>
              <w:rPr>
                <w:rFonts w:ascii="Cambria Math" w:eastAsia="宋体" w:hAnsi="Cambria Math" w:cs="Times New Roman"/>
                <w:sz w:val="20"/>
                <w:szCs w:val="20"/>
              </w:rPr>
              <m:t>TB</m:t>
            </m:r>
          </m:sub>
        </m:sSub>
      </m:oMath>
      <w:r>
        <w:rPr>
          <w:rFonts w:ascii="Times New Roman" w:eastAsia="宋体" w:hAnsi="Times New Roman" w:cs="Times New Roman"/>
          <w:sz w:val="20"/>
          <w:szCs w:val="20"/>
        </w:rPr>
        <w:t>-1.</w:t>
      </w:r>
      <w:r>
        <w:rPr>
          <w:rFonts w:eastAsia="宋体" w:hAnsi="Cambria Math" w:cs="Times New Roman" w:hint="eastAsia"/>
          <w:sz w:val="20"/>
          <w:szCs w:val="20"/>
        </w:rPr>
        <w:t xml:space="preserve"> </w:t>
      </w:r>
      <w:r>
        <w:rPr>
          <w:rFonts w:ascii="Times New Roman" w:eastAsia="宋体" w:hAnsi="Times New Roman" w:cs="Times New Roman" w:hint="eastAsia"/>
          <w:sz w:val="20"/>
          <w:szCs w:val="20"/>
        </w:rPr>
        <w:t xml:space="preserve">For </w:t>
      </w:r>
      <w:proofErr w:type="spellStart"/>
      <w:r>
        <w:rPr>
          <w:rFonts w:ascii="Times New Roman" w:eastAsia="宋体" w:hAnsi="Times New Roman" w:cs="Times New Roman" w:hint="eastAsia"/>
          <w:sz w:val="20"/>
          <w:szCs w:val="20"/>
        </w:rPr>
        <w:t>eMTC</w:t>
      </w:r>
      <w:proofErr w:type="spellEnd"/>
      <w:r>
        <w:rPr>
          <w:rFonts w:ascii="Times New Roman" w:eastAsia="宋体" w:hAnsi="Times New Roman" w:cs="Times New Roman" w:hint="eastAsia"/>
          <w:sz w:val="20"/>
          <w:szCs w:val="20"/>
        </w:rPr>
        <w:t xml:space="preserve">, if the UE is configured with </w:t>
      </w:r>
      <w:proofErr w:type="spellStart"/>
      <w:r>
        <w:rPr>
          <w:rFonts w:ascii="Times New Roman" w:eastAsia="宋体" w:hAnsi="Times New Roman" w:cs="Times New Roman" w:hint="eastAsia"/>
          <w:sz w:val="20"/>
          <w:szCs w:val="20"/>
        </w:rPr>
        <w:t>CEModeA</w:t>
      </w:r>
      <w:proofErr w:type="spellEnd"/>
      <w:r>
        <w:rPr>
          <w:rFonts w:ascii="Times New Roman" w:eastAsia="宋体" w:hAnsi="Times New Roman" w:cs="Times New Roman" w:hint="eastAsia"/>
          <w:sz w:val="20"/>
          <w:szCs w:val="20"/>
        </w:rPr>
        <w:t xml:space="preserve">, and if the UE is configured with higher layer parameter </w:t>
      </w:r>
      <w:proofErr w:type="spellStart"/>
      <w:r>
        <w:rPr>
          <w:rFonts w:ascii="Times New Roman" w:eastAsia="宋体" w:hAnsi="Times New Roman" w:cs="Times New Roman" w:hint="eastAsia"/>
          <w:i/>
          <w:iCs/>
          <w:sz w:val="20"/>
          <w:szCs w:val="20"/>
        </w:rPr>
        <w:t>harq-AckBundling</w:t>
      </w:r>
      <w:proofErr w:type="spellEnd"/>
      <w:r>
        <w:rPr>
          <w:rFonts w:ascii="Times New Roman" w:eastAsia="宋体" w:hAnsi="Times New Roman" w:cs="Times New Roman" w:hint="eastAsia"/>
          <w:sz w:val="20"/>
          <w:szCs w:val="20"/>
        </w:rPr>
        <w:t xml:space="preserve"> in </w:t>
      </w:r>
      <w:proofErr w:type="spellStart"/>
      <w:r>
        <w:rPr>
          <w:rFonts w:ascii="Times New Roman" w:eastAsia="宋体" w:hAnsi="Times New Roman" w:cs="Times New Roman" w:hint="eastAsia"/>
          <w:i/>
          <w:iCs/>
          <w:sz w:val="20"/>
          <w:szCs w:val="20"/>
        </w:rPr>
        <w:t>ce</w:t>
      </w:r>
      <w:proofErr w:type="spellEnd"/>
      <w:r>
        <w:rPr>
          <w:rFonts w:ascii="Times New Roman" w:eastAsia="宋体" w:hAnsi="Times New Roman" w:cs="Times New Roman" w:hint="eastAsia"/>
          <w:i/>
          <w:iCs/>
          <w:sz w:val="20"/>
          <w:szCs w:val="20"/>
        </w:rPr>
        <w:t>-PDSCH-</w:t>
      </w:r>
      <w:proofErr w:type="spellStart"/>
      <w:r>
        <w:rPr>
          <w:rFonts w:ascii="Times New Roman" w:eastAsia="宋体" w:hAnsi="Times New Roman" w:cs="Times New Roman" w:hint="eastAsia"/>
          <w:i/>
          <w:iCs/>
          <w:sz w:val="20"/>
          <w:szCs w:val="20"/>
        </w:rPr>
        <w:t>MultiTB</w:t>
      </w:r>
      <w:proofErr w:type="spellEnd"/>
      <w:r>
        <w:rPr>
          <w:rFonts w:ascii="Times New Roman" w:eastAsia="宋体" w:hAnsi="Times New Roman" w:cs="Times New Roman" w:hint="eastAsia"/>
          <w:i/>
          <w:iCs/>
          <w:sz w:val="20"/>
          <w:szCs w:val="20"/>
        </w:rPr>
        <w:t xml:space="preserve">-Config, </w:t>
      </w:r>
      <w:r>
        <w:rPr>
          <w:rFonts w:ascii="Times New Roman" w:eastAsia="宋体" w:hAnsi="Times New Roman" w:cs="Times New Roman" w:hint="eastAsia"/>
          <w:sz w:val="20"/>
          <w:szCs w:val="20"/>
        </w:rPr>
        <w:t xml:space="preserve">the UE shall generate M HARQ-ACK bits by performing a logical AND operation of HARQ-ACKs across all TBs in each TB bundle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A</m:t>
            </m:r>
          </m:e>
          <m:sub>
            <m:r>
              <m:rPr>
                <m:sty m:val="p"/>
              </m:rPr>
              <w:rPr>
                <w:rFonts w:ascii="Cambria Math" w:eastAsia="宋体" w:hAnsi="Cambria Math" w:cs="Times New Roman" w:hint="eastAsia"/>
                <w:sz w:val="20"/>
                <w:szCs w:val="20"/>
              </w:rPr>
              <m:t>b</m:t>
            </m:r>
          </m:sub>
        </m:sSub>
      </m:oMath>
      <w:r>
        <w:rPr>
          <w:rFonts w:ascii="Times New Roman" w:eastAsia="宋体" w:hAnsi="Times New Roman" w:cs="Times New Roman" w:hint="eastAsia"/>
          <w:sz w:val="20"/>
          <w:szCs w:val="20"/>
        </w:rPr>
        <w:t xml:space="preserve">, where b = 1, </w:t>
      </w:r>
      <w:proofErr w:type="gramStart"/>
      <w:r>
        <w:rPr>
          <w:rFonts w:ascii="Times New Roman" w:eastAsia="宋体" w:hAnsi="Times New Roman" w:cs="Times New Roman" w:hint="eastAsia"/>
          <w:sz w:val="20"/>
          <w:szCs w:val="20"/>
        </w:rPr>
        <w:t>... ,</w:t>
      </w:r>
      <w:proofErr w:type="gramEnd"/>
      <w:r>
        <w:rPr>
          <w:rFonts w:ascii="Times New Roman" w:eastAsia="宋体" w:hAnsi="Times New Roman" w:cs="Times New Roman" w:hint="eastAsia"/>
          <w:sz w:val="20"/>
          <w:szCs w:val="20"/>
        </w:rPr>
        <w:t xml:space="preserve"> M and each of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A</m:t>
            </m:r>
          </m:e>
          <m:sub>
            <m:r>
              <m:rPr>
                <m:sty m:val="p"/>
              </m:rPr>
              <w:rPr>
                <w:rFonts w:ascii="Cambria Math" w:eastAsia="宋体" w:hAnsi="Cambria Math" w:cs="Times New Roman" w:hint="eastAsia"/>
                <w:sz w:val="20"/>
                <w:szCs w:val="20"/>
              </w:rPr>
              <m:t>b</m:t>
            </m:r>
          </m:sub>
        </m:sSub>
      </m:oMath>
      <w:r>
        <w:rPr>
          <w:rFonts w:eastAsia="宋体" w:hAnsi="Cambria Math" w:cs="Times New Roman" w:hint="eastAsia"/>
          <w:sz w:val="20"/>
          <w:szCs w:val="20"/>
        </w:rPr>
        <w:t xml:space="preserve"> </w:t>
      </w:r>
      <w:r>
        <w:rPr>
          <w:rFonts w:ascii="Times New Roman" w:eastAsia="宋体" w:hAnsi="Times New Roman" w:cs="Times New Roman"/>
          <w:sz w:val="20"/>
          <w:szCs w:val="20"/>
        </w:rPr>
        <w:t>bundle i</w:t>
      </w:r>
      <w:r>
        <w:rPr>
          <w:rFonts w:ascii="Times New Roman" w:eastAsia="宋体" w:hAnsi="Times New Roman" w:cs="Times New Roman" w:hint="eastAsia"/>
          <w:sz w:val="20"/>
          <w:szCs w:val="20"/>
        </w:rPr>
        <w:t xml:space="preserve">ncludes one or more TBs bundled together for feedback. </w:t>
      </w:r>
      <w:r>
        <w:rPr>
          <w:rFonts w:ascii="Times New Roman" w:eastAsia="宋体" w:hAnsi="Times New Roman" w:cs="Times New Roman"/>
          <w:sz w:val="20"/>
          <w:szCs w:val="20"/>
        </w:rPr>
        <w:t xml:space="preserve">That is, HARQ-ACK bundling is supported when multiple TBs </w:t>
      </w:r>
      <w:r>
        <w:rPr>
          <w:rFonts w:ascii="Times New Roman" w:eastAsia="宋体" w:hAnsi="Times New Roman" w:cs="Times New Roman" w:hint="eastAsia"/>
          <w:sz w:val="20"/>
          <w:szCs w:val="20"/>
        </w:rPr>
        <w:t xml:space="preserve">are </w:t>
      </w:r>
      <w:r>
        <w:rPr>
          <w:rFonts w:ascii="Times New Roman" w:eastAsia="宋体" w:hAnsi="Times New Roman" w:cs="Times New Roman"/>
          <w:sz w:val="20"/>
          <w:szCs w:val="20"/>
        </w:rPr>
        <w:t xml:space="preserve">scheduled by single DCI, where AND operation will be performed for the HARQ feedbacks of bundled </w:t>
      </w:r>
      <w:proofErr w:type="spellStart"/>
      <w:r>
        <w:rPr>
          <w:rFonts w:ascii="Times New Roman" w:eastAsia="宋体" w:hAnsi="Times New Roman" w:cs="Times New Roman"/>
          <w:sz w:val="20"/>
          <w:szCs w:val="20"/>
        </w:rPr>
        <w:t>TBs.</w:t>
      </w:r>
      <w:proofErr w:type="spellEnd"/>
      <w:r>
        <w:rPr>
          <w:rFonts w:ascii="Times New Roman" w:eastAsia="宋体" w:hAnsi="Times New Roman" w:cs="Times New Roman"/>
          <w:sz w:val="20"/>
          <w:szCs w:val="20"/>
        </w:rPr>
        <w:t xml:space="preserve"> </w:t>
      </w:r>
    </w:p>
    <w:p w:rsidR="002F0DDA" w:rsidRDefault="00A77DDA">
      <w:pPr>
        <w:numPr>
          <w:ilvl w:val="3"/>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bundling</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case, it is possible</w:t>
      </w:r>
      <w:r>
        <w:rPr>
          <w:rFonts w:ascii="Times New Roman" w:eastAsia="宋体" w:hAnsi="Times New Roman" w:cs="Times New Roman"/>
          <w:sz w:val="20"/>
          <w:szCs w:val="20"/>
        </w:rPr>
        <w:t xml:space="preserve"> that HARQ enabled and disabled processes are bundled together.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Hence, </w:t>
      </w:r>
      <w:r>
        <w:rPr>
          <w:rFonts w:ascii="Times New Roman" w:eastAsia="宋体" w:hAnsi="Times New Roman" w:cs="Times New Roman" w:hint="eastAsia"/>
          <w:sz w:val="20"/>
          <w:szCs w:val="20"/>
        </w:rPr>
        <w:t>how the UE should generate the HARQ-ACK should be defined. Otherwise, when multiple TBs are scheduled by single DCI with HARQ bundling, this will affect the bundling order and even caus</w:t>
      </w:r>
      <w:r>
        <w:rPr>
          <w:rFonts w:ascii="Times New Roman" w:eastAsia="宋体" w:hAnsi="Times New Roman" w:cs="Times New Roman" w:hint="eastAsia"/>
          <w:sz w:val="20"/>
          <w:szCs w:val="20"/>
        </w:rPr>
        <w:t>e the misunderstanding between gNB and UE. Based on above considerations, in order to achieve a unified design that minimizes the impact on the standard, for multiple TBs scheduled by single DCI with HARQ</w:t>
      </w:r>
      <w:r>
        <w:rPr>
          <w:rFonts w:ascii="Times New Roman" w:eastAsia="宋体" w:hAnsi="Times New Roman" w:cs="Times New Roman"/>
          <w:sz w:val="20"/>
          <w:szCs w:val="20"/>
        </w:rPr>
        <w:t>-ACK</w:t>
      </w:r>
      <w:r>
        <w:rPr>
          <w:rFonts w:ascii="Times New Roman" w:eastAsia="宋体" w:hAnsi="Times New Roman" w:cs="Times New Roman" w:hint="eastAsia"/>
          <w:sz w:val="20"/>
          <w:szCs w:val="20"/>
        </w:rPr>
        <w:t xml:space="preserve"> bundling, a straightforward solution is </w:t>
      </w:r>
      <w:r>
        <w:rPr>
          <w:rFonts w:ascii="Times New Roman" w:eastAsia="宋体" w:hAnsi="Times New Roman" w:cs="Times New Roman"/>
          <w:sz w:val="20"/>
          <w:szCs w:val="20"/>
        </w:rPr>
        <w:t>to reus</w:t>
      </w:r>
      <w:r>
        <w:rPr>
          <w:rFonts w:ascii="Times New Roman" w:eastAsia="宋体" w:hAnsi="Times New Roman" w:cs="Times New Roman"/>
          <w:sz w:val="20"/>
          <w:szCs w:val="20"/>
        </w:rPr>
        <w:t xml:space="preserve">e </w:t>
      </w:r>
      <w:r>
        <w:rPr>
          <w:rFonts w:ascii="Times New Roman" w:eastAsia="宋体" w:hAnsi="Times New Roman" w:cs="Times New Roman" w:hint="eastAsia"/>
          <w:sz w:val="20"/>
          <w:szCs w:val="20"/>
        </w:rPr>
        <w:t xml:space="preserve">existing bundling division </w:t>
      </w:r>
      <w:r>
        <w:rPr>
          <w:rFonts w:ascii="Times New Roman" w:eastAsia="宋体" w:hAnsi="Times New Roman" w:cs="Times New Roman"/>
          <w:sz w:val="20"/>
          <w:szCs w:val="20"/>
        </w:rPr>
        <w:t xml:space="preserve">mechanism while </w:t>
      </w:r>
      <w:r>
        <w:rPr>
          <w:rFonts w:ascii="Times New Roman" w:eastAsia="宋体" w:hAnsi="Times New Roman" w:cs="Times New Roman" w:hint="eastAsia"/>
          <w:sz w:val="20"/>
          <w:szCs w:val="20"/>
        </w:rPr>
        <w:t xml:space="preserve">ACK/NACK </w:t>
      </w:r>
      <w:r>
        <w:rPr>
          <w:rFonts w:ascii="Times New Roman" w:eastAsia="宋体" w:hAnsi="Times New Roman" w:cs="Times New Roman"/>
          <w:sz w:val="20"/>
          <w:szCs w:val="20"/>
        </w:rPr>
        <w:t>for each bundle is</w:t>
      </w:r>
      <w:r>
        <w:rPr>
          <w:rFonts w:ascii="Times New Roman" w:eastAsia="宋体" w:hAnsi="Times New Roman" w:cs="Times New Roman" w:hint="eastAsia"/>
          <w:sz w:val="20"/>
          <w:szCs w:val="20"/>
        </w:rPr>
        <w:t xml:space="preserve"> generated </w:t>
      </w:r>
      <w:r>
        <w:rPr>
          <w:rFonts w:ascii="Times New Roman" w:eastAsia="宋体" w:hAnsi="Times New Roman" w:cs="Times New Roman"/>
          <w:sz w:val="20"/>
          <w:szCs w:val="20"/>
        </w:rPr>
        <w:t>by considering only</w:t>
      </w:r>
      <w:r>
        <w:rPr>
          <w:rFonts w:ascii="Times New Roman" w:eastAsia="宋体" w:hAnsi="Times New Roman" w:cs="Times New Roman" w:hint="eastAsia"/>
          <w:sz w:val="20"/>
          <w:szCs w:val="20"/>
        </w:rPr>
        <w:t xml:space="preserve"> the </w:t>
      </w:r>
      <w:r>
        <w:rPr>
          <w:rFonts w:ascii="Times New Roman" w:eastAsia="宋体" w:hAnsi="Times New Roman" w:cs="Times New Roman"/>
          <w:sz w:val="20"/>
          <w:szCs w:val="20"/>
        </w:rPr>
        <w:t>feedback</w:t>
      </w:r>
      <w:r>
        <w:rPr>
          <w:rFonts w:ascii="Times New Roman" w:eastAsia="宋体" w:hAnsi="Times New Roman" w:cs="Times New Roman" w:hint="eastAsia"/>
          <w:sz w:val="20"/>
          <w:szCs w:val="20"/>
        </w:rPr>
        <w:t xml:space="preserve"> enabled </w:t>
      </w:r>
      <w:proofErr w:type="spellStart"/>
      <w:r>
        <w:rPr>
          <w:rFonts w:ascii="Times New Roman" w:eastAsia="宋体" w:hAnsi="Times New Roman" w:cs="Times New Roman"/>
          <w:sz w:val="20"/>
          <w:szCs w:val="20"/>
        </w:rPr>
        <w:t>TBs.</w:t>
      </w:r>
      <w:proofErr w:type="spellEnd"/>
      <w:r>
        <w:rPr>
          <w:rFonts w:ascii="Times New Roman" w:eastAsia="宋体" w:hAnsi="Times New Roman" w:cs="Times New Roman"/>
          <w:sz w:val="20"/>
          <w:szCs w:val="20"/>
        </w:rPr>
        <w:t xml:space="preserve"> If the multiple TBs in a bundle are all disabled, no ACK/NACKs are generated.</w:t>
      </w:r>
    </w:p>
    <w:p w:rsidR="002F0DDA" w:rsidRDefault="00A77DDA">
      <w:pPr>
        <w:numPr>
          <w:ilvl w:val="3"/>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Proposal 5</w:t>
      </w:r>
      <w:r>
        <w:rPr>
          <w:rFonts w:ascii="Times New Roman" w:eastAsia="宋体" w:hAnsi="Times New Roman"/>
          <w:b/>
          <w:i/>
          <w:sz w:val="20"/>
          <w:szCs w:val="20"/>
        </w:rPr>
        <w:t>:</w:t>
      </w:r>
      <w:r>
        <w:rPr>
          <w:rFonts w:ascii="Times New Roman" w:eastAsia="宋体" w:hAnsi="Times New Roman"/>
          <w:bCs/>
          <w:i/>
          <w:sz w:val="20"/>
          <w:szCs w:val="20"/>
        </w:rPr>
        <w:t xml:space="preserve"> </w:t>
      </w:r>
      <w:r>
        <w:rPr>
          <w:rFonts w:ascii="Times New Roman" w:eastAsia="宋体" w:hAnsi="Times New Roman" w:hint="eastAsia"/>
          <w:bCs/>
          <w:i/>
          <w:sz w:val="20"/>
          <w:szCs w:val="20"/>
        </w:rPr>
        <w:t xml:space="preserve">For multiple TBs scheduled by single </w:t>
      </w:r>
      <w:r>
        <w:rPr>
          <w:rFonts w:ascii="Times New Roman" w:eastAsia="宋体" w:hAnsi="Times New Roman" w:hint="eastAsia"/>
          <w:bCs/>
          <w:i/>
          <w:sz w:val="20"/>
          <w:szCs w:val="20"/>
        </w:rPr>
        <w:t>DCI with HARQ</w:t>
      </w:r>
      <w:r>
        <w:rPr>
          <w:rFonts w:ascii="Times New Roman" w:eastAsia="宋体" w:hAnsi="Times New Roman"/>
          <w:bCs/>
          <w:i/>
          <w:sz w:val="20"/>
          <w:szCs w:val="20"/>
        </w:rPr>
        <w:t>-ACK</w:t>
      </w:r>
      <w:r>
        <w:rPr>
          <w:rFonts w:ascii="Times New Roman" w:eastAsia="宋体" w:hAnsi="Times New Roman" w:hint="eastAsia"/>
          <w:bCs/>
          <w:i/>
          <w:sz w:val="20"/>
          <w:szCs w:val="20"/>
        </w:rPr>
        <w:t xml:space="preserve"> bundling, ACK/NACK </w:t>
      </w:r>
      <w:r>
        <w:rPr>
          <w:rFonts w:ascii="Times New Roman" w:eastAsia="宋体" w:hAnsi="Times New Roman"/>
          <w:bCs/>
          <w:i/>
          <w:sz w:val="20"/>
          <w:szCs w:val="20"/>
        </w:rPr>
        <w:t xml:space="preserve">for each bundle </w:t>
      </w:r>
      <w:r>
        <w:rPr>
          <w:rFonts w:ascii="Times New Roman" w:eastAsia="宋体" w:hAnsi="Times New Roman" w:hint="eastAsia"/>
          <w:bCs/>
          <w:i/>
          <w:sz w:val="20"/>
          <w:szCs w:val="20"/>
        </w:rPr>
        <w:t xml:space="preserve">is generated </w:t>
      </w:r>
      <w:r>
        <w:rPr>
          <w:rFonts w:ascii="Times New Roman" w:eastAsia="宋体" w:hAnsi="Times New Roman"/>
          <w:bCs/>
          <w:i/>
          <w:sz w:val="20"/>
          <w:szCs w:val="20"/>
        </w:rPr>
        <w:t xml:space="preserve">by considering </w:t>
      </w:r>
      <w:r>
        <w:rPr>
          <w:rFonts w:ascii="Times New Roman" w:eastAsia="宋体" w:hAnsi="Times New Roman" w:hint="eastAsia"/>
          <w:bCs/>
          <w:i/>
          <w:sz w:val="20"/>
          <w:szCs w:val="20"/>
        </w:rPr>
        <w:t xml:space="preserve">only the TBs </w:t>
      </w:r>
      <w:r>
        <w:rPr>
          <w:rFonts w:ascii="Times New Roman" w:eastAsia="宋体" w:hAnsi="Times New Roman"/>
          <w:bCs/>
          <w:i/>
          <w:sz w:val="20"/>
          <w:szCs w:val="20"/>
        </w:rPr>
        <w:t>associated with</w:t>
      </w:r>
      <w:r>
        <w:rPr>
          <w:rFonts w:ascii="Times New Roman" w:eastAsia="宋体" w:hAnsi="Times New Roman" w:hint="eastAsia"/>
          <w:bCs/>
          <w:i/>
          <w:sz w:val="20"/>
          <w:szCs w:val="20"/>
        </w:rPr>
        <w:t xml:space="preserve"> feedback enabled</w:t>
      </w:r>
      <w:r>
        <w:rPr>
          <w:rFonts w:ascii="Times New Roman" w:eastAsia="宋体" w:hAnsi="Times New Roman"/>
          <w:bCs/>
          <w:i/>
          <w:sz w:val="20"/>
          <w:szCs w:val="20"/>
        </w:rPr>
        <w:t xml:space="preserve"> HARQ processes</w:t>
      </w:r>
      <w:r>
        <w:rPr>
          <w:rFonts w:ascii="Times New Roman" w:eastAsia="宋体" w:hAnsi="Times New Roman" w:hint="eastAsia"/>
          <w:bCs/>
          <w:i/>
          <w:sz w:val="20"/>
          <w:szCs w:val="20"/>
        </w:rPr>
        <w:t>.</w:t>
      </w:r>
    </w:p>
    <w:p w:rsidR="002F0DDA" w:rsidRDefault="00A77DD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RRC parameters</w:t>
      </w:r>
    </w:p>
    <w:p w:rsidR="002F0DDA" w:rsidRDefault="00A77DDA">
      <w:pPr>
        <w:numPr>
          <w:ilvl w:val="255"/>
          <w:numId w:val="0"/>
        </w:numPr>
        <w:spacing w:beforeLines="50" w:before="120" w:afterLines="5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For HARQ feedback disabling configuration, RAN1 has discussed the RRC parameters in RAN1#113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_Ref141886622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_Ref141886622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the initial drafted RRC parameters </w:t>
      </w:r>
      <w:r>
        <w:rPr>
          <w:rFonts w:ascii="Times New Roman" w:eastAsia="宋体" w:hAnsi="Times New Roman" w:cs="Times New Roman" w:hint="eastAsia"/>
          <w:sz w:val="20"/>
          <w:szCs w:val="20"/>
        </w:rPr>
        <w:t>are listed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_Ref310</w:instrText>
      </w:r>
      <w:r>
        <w:rPr>
          <w:rFonts w:ascii="Times New Roman" w:eastAsia="宋体" w:hAnsi="Times New Roman" w:cs="Times New Roman"/>
          <w:sz w:val="20"/>
          <w:szCs w:val="20"/>
        </w:rPr>
        <w:instrText xml:space="preserve">16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 xml:space="preserve">Table </w:t>
      </w:r>
      <w:r>
        <w:rPr>
          <w:rFonts w:ascii="Times New Roman" w:eastAsia="宋体" w:hAnsi="Times New Roman" w:cs="Times New Roman" w:hint="eastAsia"/>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We support to introduce the parameters mentioned in the table. W.r.t the value range of </w:t>
      </w:r>
      <w:proofErr w:type="spellStart"/>
      <w:r>
        <w:rPr>
          <w:rFonts w:ascii="Times New Roman" w:eastAsia="宋体" w:hAnsi="Times New Roman" w:cs="Times New Roman"/>
          <w:i/>
          <w:sz w:val="20"/>
          <w:szCs w:val="20"/>
        </w:rPr>
        <w:t>downlinkHARQ</w:t>
      </w:r>
      <w:proofErr w:type="spellEnd"/>
      <w:r>
        <w:rPr>
          <w:rFonts w:ascii="Times New Roman" w:eastAsia="宋体" w:hAnsi="Times New Roman" w:cs="Times New Roman"/>
          <w:i/>
          <w:sz w:val="20"/>
          <w:szCs w:val="20"/>
        </w:rPr>
        <w:t>-</w:t>
      </w:r>
      <w:proofErr w:type="spellStart"/>
      <w:r>
        <w:rPr>
          <w:rFonts w:ascii="Times New Roman" w:eastAsia="宋体" w:hAnsi="Times New Roman" w:cs="Times New Roman"/>
          <w:i/>
          <w:sz w:val="20"/>
          <w:szCs w:val="20"/>
        </w:rPr>
        <w:t>FeedbackDisabled</w:t>
      </w:r>
      <w:proofErr w:type="spellEnd"/>
      <w:r>
        <w:rPr>
          <w:rFonts w:ascii="Times New Roman" w:eastAsia="宋体" w:hAnsi="Times New Roman" w:cs="Times New Roman"/>
          <w:i/>
          <w:sz w:val="20"/>
          <w:szCs w:val="20"/>
        </w:rPr>
        <w:t>-Bitmap</w:t>
      </w:r>
      <w:r>
        <w:rPr>
          <w:rFonts w:ascii="Times New Roman" w:eastAsia="宋体" w:hAnsi="Times New Roman" w:cs="Times New Roman"/>
          <w:sz w:val="20"/>
          <w:szCs w:val="20"/>
        </w:rPr>
        <w:t xml:space="preserve"> and </w:t>
      </w:r>
      <w:proofErr w:type="spellStart"/>
      <w:r>
        <w:rPr>
          <w:rFonts w:ascii="Times New Roman" w:eastAsia="宋体" w:hAnsi="Times New Roman" w:cs="Times New Roman"/>
          <w:i/>
          <w:sz w:val="20"/>
          <w:szCs w:val="20"/>
        </w:rPr>
        <w:t>downlinkHARQ</w:t>
      </w:r>
      <w:proofErr w:type="spellEnd"/>
      <w:r>
        <w:rPr>
          <w:rFonts w:ascii="Times New Roman" w:eastAsia="宋体" w:hAnsi="Times New Roman" w:cs="Times New Roman"/>
          <w:i/>
          <w:sz w:val="20"/>
          <w:szCs w:val="20"/>
        </w:rPr>
        <w:t>-</w:t>
      </w:r>
      <w:proofErr w:type="spellStart"/>
      <w:r>
        <w:rPr>
          <w:rFonts w:ascii="Times New Roman" w:eastAsia="宋体" w:hAnsi="Times New Roman" w:cs="Times New Roman"/>
          <w:i/>
          <w:sz w:val="20"/>
          <w:szCs w:val="20"/>
        </w:rPr>
        <w:t>FeedbackDisabled</w:t>
      </w:r>
      <w:proofErr w:type="spellEnd"/>
      <w:r>
        <w:rPr>
          <w:rFonts w:ascii="Times New Roman" w:eastAsia="宋体" w:hAnsi="Times New Roman" w:cs="Times New Roman"/>
          <w:i/>
          <w:sz w:val="20"/>
          <w:szCs w:val="20"/>
        </w:rPr>
        <w:t>-Bitmap-NB</w:t>
      </w:r>
      <w:r>
        <w:rPr>
          <w:rFonts w:ascii="Times New Roman" w:eastAsia="宋体" w:hAnsi="Times New Roman" w:cs="Times New Roman"/>
          <w:sz w:val="20"/>
          <w:szCs w:val="20"/>
        </w:rPr>
        <w:t>, we think</w:t>
      </w:r>
      <w:r>
        <w:rPr>
          <w:rFonts w:ascii="Times New Roman" w:eastAsia="宋体" w:hAnsi="Times New Roman" w:cs="Times New Roman"/>
          <w:sz w:val="20"/>
          <w:szCs w:val="20"/>
        </w:rPr>
        <w:t xml:space="preserve"> the length of bitmap can be equal to the maximum supported HARQ process number. For NB-IoT, the length can be 2 since at most two HARQ processes are supported. For </w:t>
      </w:r>
      <w:proofErr w:type="spellStart"/>
      <w:r>
        <w:rPr>
          <w:rFonts w:ascii="Times New Roman" w:eastAsia="宋体" w:hAnsi="Times New Roman" w:cs="Times New Roman"/>
          <w:sz w:val="20"/>
          <w:szCs w:val="20"/>
        </w:rPr>
        <w:t>eMTC</w:t>
      </w:r>
      <w:proofErr w:type="spellEnd"/>
      <w:r>
        <w:rPr>
          <w:rFonts w:ascii="Times New Roman" w:eastAsia="宋体" w:hAnsi="Times New Roman" w:cs="Times New Roman"/>
          <w:sz w:val="20"/>
          <w:szCs w:val="20"/>
        </w:rPr>
        <w:t>, since 14 DL HARQ processes can be supported when</w:t>
      </w:r>
      <w:r>
        <w:rPr>
          <w:rFonts w:ascii="Times New Roman" w:eastAsia="宋体" w:hAnsi="Times New Roman" w:cs="Times New Roman"/>
          <w:i/>
          <w:sz w:val="20"/>
          <w:szCs w:val="20"/>
        </w:rPr>
        <w:t xml:space="preserve"> CE-PDSCH-14HARQ-Config-r17</w:t>
      </w:r>
      <w:r>
        <w:rPr>
          <w:rFonts w:ascii="Times New Roman" w:eastAsia="宋体" w:hAnsi="Times New Roman" w:cs="Times New Roman"/>
          <w:sz w:val="20"/>
          <w:szCs w:val="20"/>
        </w:rPr>
        <w:t xml:space="preserve"> is config</w:t>
      </w:r>
      <w:r>
        <w:rPr>
          <w:rFonts w:ascii="Times New Roman" w:eastAsia="宋体" w:hAnsi="Times New Roman" w:cs="Times New Roman"/>
          <w:sz w:val="20"/>
          <w:szCs w:val="20"/>
        </w:rPr>
        <w:t xml:space="preserve">ured, the length of bitmap can be 15. With this consideration, the value range of </w:t>
      </w:r>
      <w:proofErr w:type="spellStart"/>
      <w:r>
        <w:rPr>
          <w:rFonts w:ascii="Times New Roman" w:eastAsia="宋体" w:hAnsi="Times New Roman" w:cs="Times New Roman"/>
          <w:i/>
          <w:sz w:val="20"/>
          <w:szCs w:val="20"/>
        </w:rPr>
        <w:t>downlinkHARQ</w:t>
      </w:r>
      <w:proofErr w:type="spellEnd"/>
      <w:r>
        <w:rPr>
          <w:rFonts w:ascii="Times New Roman" w:eastAsia="宋体" w:hAnsi="Times New Roman" w:cs="Times New Roman"/>
          <w:i/>
          <w:sz w:val="20"/>
          <w:szCs w:val="20"/>
        </w:rPr>
        <w:t>-</w:t>
      </w:r>
      <w:proofErr w:type="spellStart"/>
      <w:r>
        <w:rPr>
          <w:rFonts w:ascii="Times New Roman" w:eastAsia="宋体" w:hAnsi="Times New Roman" w:cs="Times New Roman"/>
          <w:i/>
          <w:sz w:val="20"/>
          <w:szCs w:val="20"/>
        </w:rPr>
        <w:t>FeedbackDisabled</w:t>
      </w:r>
      <w:proofErr w:type="spellEnd"/>
      <w:r>
        <w:rPr>
          <w:rFonts w:ascii="Times New Roman" w:eastAsia="宋体" w:hAnsi="Times New Roman" w:cs="Times New Roman"/>
          <w:i/>
          <w:sz w:val="20"/>
          <w:szCs w:val="20"/>
        </w:rPr>
        <w:t>-Bitmap</w:t>
      </w:r>
      <w:r>
        <w:rPr>
          <w:rFonts w:ascii="Times New Roman" w:eastAsia="宋体" w:hAnsi="Times New Roman" w:cs="Times New Roman"/>
          <w:sz w:val="20"/>
          <w:szCs w:val="20"/>
        </w:rPr>
        <w:t xml:space="preserve"> and </w:t>
      </w:r>
      <w:proofErr w:type="spellStart"/>
      <w:r>
        <w:rPr>
          <w:rFonts w:ascii="Times New Roman" w:eastAsia="宋体" w:hAnsi="Times New Roman" w:cs="Times New Roman"/>
          <w:i/>
          <w:sz w:val="20"/>
          <w:szCs w:val="20"/>
        </w:rPr>
        <w:t>downlinkHARQ</w:t>
      </w:r>
      <w:proofErr w:type="spellEnd"/>
      <w:r>
        <w:rPr>
          <w:rFonts w:ascii="Times New Roman" w:eastAsia="宋体" w:hAnsi="Times New Roman" w:cs="Times New Roman"/>
          <w:i/>
          <w:sz w:val="20"/>
          <w:szCs w:val="20"/>
        </w:rPr>
        <w:t>-</w:t>
      </w:r>
      <w:proofErr w:type="spellStart"/>
      <w:r>
        <w:rPr>
          <w:rFonts w:ascii="Times New Roman" w:eastAsia="宋体" w:hAnsi="Times New Roman" w:cs="Times New Roman"/>
          <w:i/>
          <w:sz w:val="20"/>
          <w:szCs w:val="20"/>
        </w:rPr>
        <w:t>FeedbackDisabled</w:t>
      </w:r>
      <w:proofErr w:type="spellEnd"/>
      <w:r>
        <w:rPr>
          <w:rFonts w:ascii="Times New Roman" w:eastAsia="宋体" w:hAnsi="Times New Roman" w:cs="Times New Roman"/>
          <w:i/>
          <w:sz w:val="20"/>
          <w:szCs w:val="20"/>
        </w:rPr>
        <w:t>-Bitmap-NB</w:t>
      </w:r>
      <w:r>
        <w:rPr>
          <w:rFonts w:ascii="Times New Roman" w:eastAsia="宋体" w:hAnsi="Times New Roman" w:cs="Times New Roman"/>
          <w:sz w:val="20"/>
          <w:szCs w:val="20"/>
        </w:rPr>
        <w:t xml:space="preserve"> can be updated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_Ref31016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 xml:space="preserve">Table </w:t>
      </w:r>
      <w:r>
        <w:rPr>
          <w:rFonts w:ascii="Times New Roman" w:eastAsia="宋体" w:hAnsi="Times New Roman" w:cs="Times New Roman" w:hint="eastAsia"/>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2F0DDA" w:rsidRDefault="00A77DDA">
      <w:pPr>
        <w:numPr>
          <w:ilvl w:val="255"/>
          <w:numId w:val="0"/>
        </w:numPr>
        <w:spacing w:beforeLines="50" w:before="120" w:afterLines="50" w:after="120" w:line="240" w:lineRule="auto"/>
        <w:rPr>
          <w:rFonts w:ascii="Times New Roman" w:eastAsia="宋体" w:hAnsi="Times New Roman"/>
          <w:b/>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6</w:t>
      </w:r>
      <w:r>
        <w:rPr>
          <w:rFonts w:ascii="Times New Roman" w:eastAsia="宋体" w:hAnsi="Times New Roman"/>
          <w:b/>
          <w:i/>
          <w:sz w:val="20"/>
          <w:szCs w:val="20"/>
        </w:rPr>
        <w:t xml:space="preserve">: </w:t>
      </w:r>
      <w:r>
        <w:rPr>
          <w:rFonts w:ascii="Times New Roman" w:eastAsia="宋体" w:hAnsi="Times New Roman" w:hint="eastAsia"/>
          <w:i/>
          <w:sz w:val="20"/>
          <w:szCs w:val="20"/>
        </w:rPr>
        <w:t xml:space="preserve">RRC parameter list in </w:t>
      </w:r>
      <w:r>
        <w:rPr>
          <w:rFonts w:ascii="Times New Roman" w:eastAsia="宋体" w:hAnsi="Times New Roman" w:hint="eastAsia"/>
          <w:i/>
          <w:sz w:val="20"/>
          <w:szCs w:val="20"/>
        </w:rPr>
        <w:fldChar w:fldCharType="begin"/>
      </w:r>
      <w:r>
        <w:rPr>
          <w:rFonts w:ascii="Times New Roman" w:eastAsia="宋体" w:hAnsi="Times New Roman"/>
          <w:i/>
          <w:sz w:val="20"/>
          <w:szCs w:val="20"/>
        </w:rPr>
        <w:instrText xml:space="preserve"> REF _Ref31016 \h </w:instrText>
      </w:r>
      <w:r>
        <w:rPr>
          <w:rFonts w:ascii="Times New Roman" w:eastAsia="宋体" w:hAnsi="Times New Roman" w:hint="eastAsia"/>
          <w:i/>
          <w:sz w:val="20"/>
          <w:szCs w:val="20"/>
        </w:rPr>
      </w:r>
      <w:r>
        <w:rPr>
          <w:rFonts w:ascii="Times New Roman" w:eastAsia="宋体" w:hAnsi="Times New Roman" w:hint="eastAsia"/>
          <w:i/>
          <w:sz w:val="20"/>
          <w:szCs w:val="20"/>
        </w:rPr>
        <w:fldChar w:fldCharType="separate"/>
      </w:r>
      <w:r>
        <w:rPr>
          <w:rFonts w:ascii="Times New Roman" w:eastAsia="宋体" w:hAnsi="Times New Roman"/>
          <w:i/>
          <w:sz w:val="20"/>
          <w:szCs w:val="20"/>
        </w:rPr>
        <w:t xml:space="preserve">Table </w:t>
      </w:r>
      <w:r>
        <w:rPr>
          <w:rFonts w:ascii="Times New Roman" w:eastAsia="宋体" w:hAnsi="Times New Roman" w:hint="eastAsia"/>
          <w:i/>
          <w:sz w:val="20"/>
          <w:szCs w:val="20"/>
        </w:rPr>
        <w:t>4</w:t>
      </w:r>
      <w:r>
        <w:rPr>
          <w:rFonts w:ascii="Times New Roman" w:eastAsia="宋体" w:hAnsi="Times New Roman" w:hint="eastAsia"/>
          <w:i/>
          <w:sz w:val="20"/>
          <w:szCs w:val="20"/>
        </w:rPr>
        <w:fldChar w:fldCharType="end"/>
      </w:r>
      <w:r>
        <w:rPr>
          <w:rFonts w:ascii="Times New Roman" w:eastAsia="宋体" w:hAnsi="Times New Roman"/>
          <w:i/>
          <w:sz w:val="20"/>
          <w:szCs w:val="20"/>
        </w:rPr>
        <w:t xml:space="preserve"> </w:t>
      </w:r>
      <w:r>
        <w:rPr>
          <w:rFonts w:ascii="Times New Roman" w:eastAsia="宋体" w:hAnsi="Times New Roman" w:hint="eastAsia"/>
          <w:i/>
          <w:sz w:val="20"/>
          <w:szCs w:val="20"/>
        </w:rPr>
        <w:t>can be</w:t>
      </w:r>
      <w:r>
        <w:rPr>
          <w:rFonts w:ascii="Times New Roman" w:eastAsia="宋体" w:hAnsi="Times New Roman"/>
          <w:i/>
          <w:sz w:val="20"/>
          <w:szCs w:val="20"/>
        </w:rPr>
        <w:t xml:space="preserve"> supported with corresponding updates</w:t>
      </w:r>
      <w:r>
        <w:rPr>
          <w:rFonts w:ascii="Times New Roman" w:eastAsia="宋体" w:hAnsi="Times New Roman" w:hint="eastAsia"/>
          <w:i/>
          <w:sz w:val="20"/>
          <w:szCs w:val="20"/>
        </w:rPr>
        <w:t>.</w:t>
      </w:r>
    </w:p>
    <w:p w:rsidR="002F0DDA" w:rsidRDefault="00A77DDA">
      <w:pPr>
        <w:pStyle w:val="a3"/>
        <w:rPr>
          <w:sz w:val="18"/>
          <w:szCs w:val="18"/>
          <w:lang w:val="en-US"/>
        </w:rPr>
      </w:pPr>
      <w:bookmarkStart w:id="10" w:name="_Ref134636337"/>
      <w:bookmarkStart w:id="11" w:name="_Ref31016"/>
      <w:r>
        <w:rPr>
          <w:sz w:val="18"/>
          <w:szCs w:val="18"/>
          <w:lang w:val="en-US"/>
        </w:rPr>
        <w:t xml:space="preserve">Table </w:t>
      </w:r>
      <w:r>
        <w:rPr>
          <w:sz w:val="18"/>
          <w:szCs w:val="18"/>
          <w:lang w:val="en-US"/>
        </w:rPr>
        <w:fldChar w:fldCharType="begin"/>
      </w:r>
      <w:r>
        <w:rPr>
          <w:sz w:val="18"/>
          <w:szCs w:val="18"/>
          <w:lang w:val="en-US"/>
        </w:rPr>
        <w:instrText xml:space="preserve"> SEQ Table \* ARABIC</w:instrText>
      </w:r>
      <w:r>
        <w:rPr>
          <w:sz w:val="18"/>
          <w:szCs w:val="18"/>
          <w:lang w:val="en-US"/>
        </w:rPr>
        <w:instrText xml:space="preserve"> </w:instrText>
      </w:r>
      <w:r>
        <w:rPr>
          <w:sz w:val="18"/>
          <w:szCs w:val="18"/>
          <w:lang w:val="en-US"/>
        </w:rPr>
        <w:fldChar w:fldCharType="separate"/>
      </w:r>
      <w:r>
        <w:rPr>
          <w:sz w:val="18"/>
          <w:szCs w:val="18"/>
          <w:lang w:val="en-US"/>
        </w:rPr>
        <w:t>4</w:t>
      </w:r>
      <w:r>
        <w:rPr>
          <w:sz w:val="18"/>
          <w:szCs w:val="18"/>
          <w:lang w:val="en-US"/>
        </w:rPr>
        <w:fldChar w:fldCharType="end"/>
      </w:r>
      <w:bookmarkEnd w:id="10"/>
      <w:bookmarkEnd w:id="11"/>
      <w:r>
        <w:rPr>
          <w:sz w:val="18"/>
          <w:szCs w:val="18"/>
          <w:lang w:val="en-US"/>
        </w:rPr>
        <w:t xml:space="preserve"> RRC parameter list for disabling of HARQ feedback for IoT-NTN</w:t>
      </w:r>
    </w:p>
    <w:tbl>
      <w:tblPr>
        <w:tblStyle w:val="af3"/>
        <w:tblW w:w="9620" w:type="dxa"/>
        <w:tblLayout w:type="fixed"/>
        <w:tblLook w:val="04A0" w:firstRow="1" w:lastRow="0" w:firstColumn="1" w:lastColumn="0" w:noHBand="0" w:noVBand="1"/>
      </w:tblPr>
      <w:tblGrid>
        <w:gridCol w:w="2499"/>
        <w:gridCol w:w="3816"/>
        <w:gridCol w:w="3305"/>
      </w:tblGrid>
      <w:tr w:rsidR="002F0DDA">
        <w:tc>
          <w:tcPr>
            <w:tcW w:w="2499" w:type="dxa"/>
          </w:tcPr>
          <w:p w:rsidR="002F0DDA" w:rsidRDefault="00A77DDA">
            <w:pPr>
              <w:numPr>
                <w:ilvl w:val="255"/>
                <w:numId w:val="0"/>
              </w:numPr>
              <w:spacing w:beforeLines="50" w:before="120" w:afterLines="50" w:after="120" w:line="240" w:lineRule="auto"/>
              <w:jc w:val="center"/>
              <w:rPr>
                <w:rFonts w:ascii="Arial" w:hAnsi="Arial" w:cs="Arial"/>
                <w:b/>
                <w:bCs/>
                <w:sz w:val="16"/>
                <w:szCs w:val="16"/>
              </w:rPr>
            </w:pPr>
            <w:r>
              <w:rPr>
                <w:rFonts w:ascii="Arial" w:hAnsi="Arial" w:cs="Arial" w:hint="eastAsia"/>
                <w:b/>
                <w:bCs/>
                <w:sz w:val="16"/>
                <w:szCs w:val="16"/>
              </w:rPr>
              <w:t>Parameter name</w:t>
            </w:r>
          </w:p>
        </w:tc>
        <w:tc>
          <w:tcPr>
            <w:tcW w:w="3816" w:type="dxa"/>
          </w:tcPr>
          <w:p w:rsidR="002F0DDA" w:rsidRDefault="00A77DDA">
            <w:pPr>
              <w:numPr>
                <w:ilvl w:val="255"/>
                <w:numId w:val="0"/>
              </w:numPr>
              <w:spacing w:beforeLines="50" w:before="120" w:afterLines="50" w:after="120" w:line="240" w:lineRule="auto"/>
              <w:jc w:val="center"/>
              <w:rPr>
                <w:sz w:val="16"/>
                <w:szCs w:val="16"/>
              </w:rPr>
            </w:pPr>
            <w:r>
              <w:rPr>
                <w:rFonts w:ascii="Arial" w:hAnsi="Arial" w:cs="Arial" w:hint="eastAsia"/>
                <w:b/>
                <w:bCs/>
                <w:sz w:val="16"/>
                <w:szCs w:val="16"/>
              </w:rPr>
              <w:t>Field descriptions</w:t>
            </w:r>
          </w:p>
        </w:tc>
        <w:tc>
          <w:tcPr>
            <w:tcW w:w="3305" w:type="dxa"/>
          </w:tcPr>
          <w:p w:rsidR="002F0DDA" w:rsidRDefault="00A77DDA">
            <w:pPr>
              <w:numPr>
                <w:ilvl w:val="255"/>
                <w:numId w:val="0"/>
              </w:numPr>
              <w:spacing w:beforeLines="50" w:before="120" w:afterLines="50" w:after="120" w:line="240" w:lineRule="auto"/>
              <w:jc w:val="center"/>
              <w:rPr>
                <w:rFonts w:ascii="Arial" w:hAnsi="Arial" w:cs="Arial"/>
                <w:b/>
                <w:bCs/>
                <w:sz w:val="16"/>
                <w:szCs w:val="16"/>
              </w:rPr>
            </w:pPr>
            <w:r>
              <w:rPr>
                <w:rFonts w:ascii="Arial" w:hAnsi="Arial" w:cs="Arial" w:hint="eastAsia"/>
                <w:b/>
                <w:bCs/>
                <w:sz w:val="16"/>
                <w:szCs w:val="16"/>
              </w:rPr>
              <w:t>Value range</w:t>
            </w:r>
          </w:p>
        </w:tc>
      </w:tr>
      <w:tr w:rsidR="002F0DDA">
        <w:tc>
          <w:tcPr>
            <w:tcW w:w="2499"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proofErr w:type="spellStart"/>
            <w:r>
              <w:rPr>
                <w:rFonts w:ascii="Arial" w:hAnsi="Arial" w:cs="Arial"/>
                <w:sz w:val="16"/>
                <w:szCs w:val="16"/>
              </w:rPr>
              <w:t>downlinkHARQ</w:t>
            </w:r>
            <w:proofErr w:type="spellEnd"/>
            <w:r>
              <w:rPr>
                <w:rFonts w:ascii="Arial" w:hAnsi="Arial" w:cs="Arial"/>
                <w:sz w:val="16"/>
                <w:szCs w:val="16"/>
              </w:rPr>
              <w:t>-</w:t>
            </w:r>
            <w:proofErr w:type="spellStart"/>
            <w:r>
              <w:rPr>
                <w:rFonts w:ascii="Arial" w:hAnsi="Arial" w:cs="Arial"/>
                <w:sz w:val="16"/>
                <w:szCs w:val="16"/>
              </w:rPr>
              <w:t>FeedbackDisabled</w:t>
            </w:r>
            <w:proofErr w:type="spellEnd"/>
            <w:r>
              <w:rPr>
                <w:rFonts w:ascii="Arial" w:hAnsi="Arial" w:cs="Arial"/>
                <w:sz w:val="16"/>
                <w:szCs w:val="16"/>
              </w:rPr>
              <w:t>-Bitmap</w:t>
            </w:r>
          </w:p>
        </w:tc>
        <w:tc>
          <w:tcPr>
            <w:tcW w:w="3816"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Used to disable the DL HARQ feedback, sent in the uplink, per HARQ process ID</w:t>
            </w:r>
          </w:p>
        </w:tc>
        <w:tc>
          <w:tcPr>
            <w:tcW w:w="3305" w:type="dxa"/>
            <w:shd w:val="clear" w:color="auto" w:fill="auto"/>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Bitmap [</w:t>
            </w:r>
            <w:r>
              <w:rPr>
                <w:rFonts w:ascii="Arial" w:hAnsi="Arial" w:cs="Arial"/>
                <w:strike/>
                <w:color w:val="FF0000"/>
                <w:sz w:val="16"/>
                <w:szCs w:val="16"/>
              </w:rPr>
              <w:t xml:space="preserve">TBD length </w:t>
            </w:r>
            <w:proofErr w:type="gramStart"/>
            <w:r>
              <w:rPr>
                <w:rFonts w:ascii="Arial" w:hAnsi="Arial" w:cs="Arial"/>
                <w:color w:val="FF0000"/>
                <w:sz w:val="16"/>
                <w:szCs w:val="16"/>
              </w:rPr>
              <w:t>size(</w:t>
            </w:r>
            <w:proofErr w:type="gramEnd"/>
            <w:r>
              <w:rPr>
                <w:rFonts w:ascii="Arial" w:hAnsi="Arial" w:cs="Arial"/>
                <w:color w:val="FF0000"/>
                <w:sz w:val="16"/>
                <w:szCs w:val="16"/>
              </w:rPr>
              <w:t>14)</w:t>
            </w:r>
            <w:r>
              <w:rPr>
                <w:rFonts w:ascii="Arial" w:hAnsi="Arial" w:cs="Arial"/>
                <w:sz w:val="16"/>
                <w:szCs w:val="16"/>
              </w:rPr>
              <w:t>]</w:t>
            </w:r>
          </w:p>
        </w:tc>
      </w:tr>
      <w:tr w:rsidR="002F0DDA">
        <w:tc>
          <w:tcPr>
            <w:tcW w:w="2499"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proofErr w:type="spellStart"/>
            <w:r>
              <w:rPr>
                <w:rFonts w:ascii="Arial" w:hAnsi="Arial" w:cs="Arial"/>
                <w:sz w:val="16"/>
                <w:szCs w:val="16"/>
              </w:rPr>
              <w:t>downlinkHARQ</w:t>
            </w:r>
            <w:proofErr w:type="spellEnd"/>
            <w:r>
              <w:rPr>
                <w:rFonts w:ascii="Arial" w:hAnsi="Arial" w:cs="Arial"/>
                <w:sz w:val="16"/>
                <w:szCs w:val="16"/>
              </w:rPr>
              <w:t>-</w:t>
            </w:r>
            <w:proofErr w:type="spellStart"/>
            <w:r>
              <w:rPr>
                <w:rFonts w:ascii="Arial" w:hAnsi="Arial" w:cs="Arial"/>
                <w:sz w:val="16"/>
                <w:szCs w:val="16"/>
              </w:rPr>
              <w:t>FeedbackDisabled</w:t>
            </w:r>
            <w:proofErr w:type="spellEnd"/>
            <w:r>
              <w:rPr>
                <w:rFonts w:ascii="Arial" w:hAnsi="Arial" w:cs="Arial"/>
                <w:sz w:val="16"/>
                <w:szCs w:val="16"/>
              </w:rPr>
              <w:t>-Bitmap-NB</w:t>
            </w:r>
          </w:p>
        </w:tc>
        <w:tc>
          <w:tcPr>
            <w:tcW w:w="3816"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Used to disable the DL HARQ feedback, sent in the uplink, per HARQ process ID</w:t>
            </w:r>
          </w:p>
        </w:tc>
        <w:tc>
          <w:tcPr>
            <w:tcW w:w="3305" w:type="dxa"/>
            <w:shd w:val="clear" w:color="auto" w:fill="auto"/>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Bitmap [</w:t>
            </w:r>
            <w:r>
              <w:rPr>
                <w:rFonts w:ascii="Arial" w:hAnsi="Arial" w:cs="Arial"/>
                <w:strike/>
                <w:color w:val="FF0000"/>
                <w:sz w:val="16"/>
                <w:szCs w:val="16"/>
              </w:rPr>
              <w:t xml:space="preserve">TBD length </w:t>
            </w:r>
            <w:proofErr w:type="gramStart"/>
            <w:r>
              <w:rPr>
                <w:rFonts w:ascii="Arial" w:hAnsi="Arial" w:cs="Arial"/>
                <w:color w:val="FF0000"/>
                <w:sz w:val="16"/>
                <w:szCs w:val="16"/>
              </w:rPr>
              <w:t>size(</w:t>
            </w:r>
            <w:proofErr w:type="gramEnd"/>
            <w:r>
              <w:rPr>
                <w:rFonts w:ascii="Arial" w:hAnsi="Arial" w:cs="Arial"/>
                <w:color w:val="FF0000"/>
                <w:sz w:val="16"/>
                <w:szCs w:val="16"/>
              </w:rPr>
              <w:t>2)</w:t>
            </w:r>
            <w:r>
              <w:rPr>
                <w:rFonts w:ascii="Arial" w:hAnsi="Arial" w:cs="Arial"/>
                <w:sz w:val="16"/>
                <w:szCs w:val="16"/>
              </w:rPr>
              <w:t>]</w:t>
            </w:r>
          </w:p>
        </w:tc>
      </w:tr>
      <w:tr w:rsidR="002F0DDA">
        <w:tc>
          <w:tcPr>
            <w:tcW w:w="2499"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proofErr w:type="spellStart"/>
            <w:r>
              <w:rPr>
                <w:rFonts w:ascii="Arial" w:hAnsi="Arial" w:cs="Arial"/>
                <w:sz w:val="16"/>
                <w:szCs w:val="16"/>
              </w:rPr>
              <w:t>downlinkHARQ</w:t>
            </w:r>
            <w:proofErr w:type="spellEnd"/>
            <w:r>
              <w:rPr>
                <w:rFonts w:ascii="Arial" w:hAnsi="Arial" w:cs="Arial"/>
                <w:sz w:val="16"/>
                <w:szCs w:val="16"/>
              </w:rPr>
              <w:t>-</w:t>
            </w:r>
            <w:proofErr w:type="spellStart"/>
            <w:r>
              <w:rPr>
                <w:rFonts w:ascii="Arial" w:hAnsi="Arial" w:cs="Arial"/>
                <w:sz w:val="16"/>
                <w:szCs w:val="16"/>
              </w:rPr>
              <w:t>FeedbackDisabled</w:t>
            </w:r>
            <w:proofErr w:type="spellEnd"/>
            <w:r>
              <w:rPr>
                <w:rFonts w:ascii="Arial" w:hAnsi="Arial" w:cs="Arial"/>
                <w:sz w:val="16"/>
                <w:szCs w:val="16"/>
              </w:rPr>
              <w:t>-DCI</w:t>
            </w:r>
          </w:p>
        </w:tc>
        <w:tc>
          <w:tcPr>
            <w:tcW w:w="3816"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Indicate whether DCI indication is used to directly indicate / o</w:t>
            </w:r>
            <w:r>
              <w:rPr>
                <w:rFonts w:ascii="Arial" w:hAnsi="Arial" w:cs="Arial"/>
                <w:sz w:val="16"/>
                <w:szCs w:val="16"/>
              </w:rPr>
              <w:t>verride RRC configuration for disabling HARQ feedback</w:t>
            </w:r>
          </w:p>
        </w:tc>
        <w:tc>
          <w:tcPr>
            <w:tcW w:w="3305" w:type="dxa"/>
            <w:shd w:val="clear" w:color="auto" w:fill="auto"/>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BOOLEAN</w:t>
            </w:r>
          </w:p>
        </w:tc>
      </w:tr>
      <w:tr w:rsidR="002F0DDA">
        <w:tc>
          <w:tcPr>
            <w:tcW w:w="2499"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proofErr w:type="spellStart"/>
            <w:r>
              <w:rPr>
                <w:rFonts w:ascii="Arial" w:hAnsi="Arial" w:cs="Arial"/>
                <w:sz w:val="16"/>
                <w:szCs w:val="16"/>
              </w:rPr>
              <w:t>downlinkHARQ</w:t>
            </w:r>
            <w:proofErr w:type="spellEnd"/>
            <w:r>
              <w:rPr>
                <w:rFonts w:ascii="Arial" w:hAnsi="Arial" w:cs="Arial"/>
                <w:sz w:val="16"/>
                <w:szCs w:val="16"/>
              </w:rPr>
              <w:t>-</w:t>
            </w:r>
            <w:proofErr w:type="spellStart"/>
            <w:r>
              <w:rPr>
                <w:rFonts w:ascii="Arial" w:hAnsi="Arial" w:cs="Arial"/>
                <w:sz w:val="16"/>
                <w:szCs w:val="16"/>
              </w:rPr>
              <w:t>FeedbackDisabled</w:t>
            </w:r>
            <w:proofErr w:type="spellEnd"/>
            <w:r>
              <w:rPr>
                <w:rFonts w:ascii="Arial" w:hAnsi="Arial" w:cs="Arial"/>
                <w:sz w:val="16"/>
                <w:szCs w:val="16"/>
              </w:rPr>
              <w:t>-DCI-NB</w:t>
            </w:r>
          </w:p>
        </w:tc>
        <w:tc>
          <w:tcPr>
            <w:tcW w:w="3816"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Indicate whether DCI indication is used to directly indicate / override RRC configuration for disabling HARQ feedback</w:t>
            </w:r>
          </w:p>
        </w:tc>
        <w:tc>
          <w:tcPr>
            <w:tcW w:w="3305" w:type="dxa"/>
            <w:shd w:val="clear" w:color="auto" w:fill="auto"/>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BOOLEAN</w:t>
            </w:r>
          </w:p>
        </w:tc>
      </w:tr>
      <w:tr w:rsidR="002F0DDA">
        <w:tc>
          <w:tcPr>
            <w:tcW w:w="2499"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proofErr w:type="spellStart"/>
            <w:r>
              <w:rPr>
                <w:rFonts w:ascii="Arial" w:hAnsi="Arial" w:cs="Arial"/>
                <w:sz w:val="16"/>
                <w:szCs w:val="16"/>
              </w:rPr>
              <w:t>harq-FeedbackDisablingforSPSa</w:t>
            </w:r>
            <w:r>
              <w:rPr>
                <w:rFonts w:ascii="Arial" w:hAnsi="Arial" w:cs="Arial"/>
                <w:sz w:val="16"/>
                <w:szCs w:val="16"/>
              </w:rPr>
              <w:t>ctive</w:t>
            </w:r>
            <w:proofErr w:type="spellEnd"/>
          </w:p>
        </w:tc>
        <w:tc>
          <w:tcPr>
            <w:tcW w:w="3816" w:type="dxa"/>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If enabled, UE reports ACK/NACK for the first SPS PDSCH after activation, regardless of if HARQ feedback is enabled or disabled corresponding to the first SPS PDSCH after activation. Otherwise, UE follows configuration of HARQ feedback enabled/disabl</w:t>
            </w:r>
            <w:r>
              <w:rPr>
                <w:rFonts w:ascii="Arial" w:hAnsi="Arial" w:cs="Arial"/>
                <w:sz w:val="16"/>
                <w:szCs w:val="16"/>
              </w:rPr>
              <w:t>ed corresponding to the first SPS PDSCH after activation</w:t>
            </w:r>
          </w:p>
        </w:tc>
        <w:tc>
          <w:tcPr>
            <w:tcW w:w="3305" w:type="dxa"/>
            <w:shd w:val="clear" w:color="auto" w:fill="auto"/>
            <w:vAlign w:val="center"/>
          </w:tcPr>
          <w:p w:rsidR="002F0DDA" w:rsidRDefault="00A77DDA">
            <w:pPr>
              <w:numPr>
                <w:ilvl w:val="255"/>
                <w:numId w:val="0"/>
              </w:numPr>
              <w:spacing w:beforeLines="50" w:before="120" w:afterLines="50" w:after="120" w:line="240" w:lineRule="auto"/>
              <w:rPr>
                <w:rFonts w:ascii="Arial" w:hAnsi="Arial" w:cs="Arial"/>
                <w:sz w:val="16"/>
                <w:szCs w:val="16"/>
              </w:rPr>
            </w:pPr>
            <w:r>
              <w:rPr>
                <w:rFonts w:ascii="Arial" w:hAnsi="Arial" w:cs="Arial"/>
                <w:sz w:val="16"/>
                <w:szCs w:val="16"/>
              </w:rPr>
              <w:t>BOOLEAN</w:t>
            </w:r>
          </w:p>
        </w:tc>
      </w:tr>
    </w:tbl>
    <w:p w:rsidR="002F0DDA" w:rsidRDefault="00A77DD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2F0DDA" w:rsidRDefault="00A77DDA">
      <w:pPr>
        <w:pStyle w:val="af7"/>
        <w:spacing w:beforeLines="50" w:before="120" w:afterLines="50" w:after="120" w:line="240" w:lineRule="auto"/>
        <w:ind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this contribution, analysis on </w:t>
      </w:r>
      <w:r>
        <w:rPr>
          <w:rFonts w:ascii="Times New Roman" w:hAnsi="Times New Roman" w:hint="eastAsia"/>
          <w:sz w:val="20"/>
          <w:szCs w:val="20"/>
        </w:rPr>
        <w:t xml:space="preserve">the solutions to </w:t>
      </w:r>
      <w:r>
        <w:rPr>
          <w:rFonts w:ascii="Times New Roman" w:eastAsia="宋体" w:hAnsi="Times New Roman" w:cs="Times New Roman" w:hint="eastAsia"/>
          <w:sz w:val="20"/>
          <w:szCs w:val="20"/>
        </w:rPr>
        <w:t>configure the HARQ feedback enabling/disabling</w:t>
      </w:r>
      <w:r>
        <w:rPr>
          <w:rFonts w:ascii="Times New Roman" w:hAnsi="Times New Roman" w:hint="eastAsia"/>
          <w:sz w:val="20"/>
          <w:szCs w:val="20"/>
        </w:rPr>
        <w:t xml:space="preserve"> and potential issues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conducted with following proposals:</w:t>
      </w:r>
    </w:p>
    <w:p w:rsidR="002F0DDA" w:rsidRDefault="00A77DDA">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 1</w:t>
      </w:r>
      <w:r>
        <w:rPr>
          <w:rFonts w:ascii="Times New Roman" w:eastAsia="宋体" w:hAnsi="Times New Roman"/>
          <w:bCs/>
          <w:i/>
          <w:sz w:val="20"/>
          <w:szCs w:val="20"/>
        </w:rPr>
        <w:t xml:space="preserve">: For 15kHz subcarrier spacing configuration in NB-IoT, state </w:t>
      </w:r>
      <w:r>
        <w:rPr>
          <w:rFonts w:ascii="Times New Roman" w:eastAsia="宋体" w:hAnsi="Times New Roman" w:hint="eastAsia"/>
          <w:bCs/>
          <w:i/>
          <w:sz w:val="20"/>
          <w:szCs w:val="20"/>
        </w:rPr>
        <w:t>3</w:t>
      </w:r>
      <w:r>
        <w:rPr>
          <w:rFonts w:ascii="Times New Roman" w:eastAsia="宋体" w:hAnsi="Times New Roman"/>
          <w:bCs/>
          <w:i/>
          <w:sz w:val="20"/>
          <w:szCs w:val="20"/>
        </w:rPr>
        <w:t xml:space="preserve"> of “HARQ-ACK resource” field in DCI format N1 should be defined as state A to indicate DCI overridden/direct indication, which should be same among different UEs.</w:t>
      </w:r>
    </w:p>
    <w:p w:rsidR="002F0DDA" w:rsidRDefault="00A77DDA">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 2</w:t>
      </w:r>
      <w:r>
        <w:rPr>
          <w:rFonts w:ascii="Times New Roman" w:eastAsia="宋体" w:hAnsi="Times New Roman"/>
          <w:bCs/>
          <w:i/>
          <w:sz w:val="20"/>
          <w:szCs w:val="20"/>
        </w:rPr>
        <w:t>: For 3.75kHz subca</w:t>
      </w:r>
      <w:r>
        <w:rPr>
          <w:rFonts w:ascii="Times New Roman" w:eastAsia="宋体" w:hAnsi="Times New Roman"/>
          <w:bCs/>
          <w:i/>
          <w:sz w:val="20"/>
          <w:szCs w:val="20"/>
        </w:rPr>
        <w:t xml:space="preserve">rrier spacing configuration in NB-IoT, state </w:t>
      </w:r>
      <w:r>
        <w:rPr>
          <w:rFonts w:ascii="Times New Roman" w:eastAsia="宋体" w:hAnsi="Times New Roman" w:hint="eastAsia"/>
          <w:bCs/>
          <w:i/>
          <w:sz w:val="20"/>
          <w:szCs w:val="20"/>
        </w:rPr>
        <w:t>0</w:t>
      </w:r>
      <w:r>
        <w:rPr>
          <w:rFonts w:ascii="Times New Roman" w:eastAsia="宋体" w:hAnsi="Times New Roman"/>
          <w:bCs/>
          <w:i/>
          <w:sz w:val="20"/>
          <w:szCs w:val="20"/>
        </w:rPr>
        <w:t xml:space="preserve"> of “HARQ-ACK resource” field in DCI format N1 should be defined as state A to indicate DCI overridden/direct indication, which should be same among different UEs.</w:t>
      </w:r>
    </w:p>
    <w:p w:rsidR="002F0DDA" w:rsidRDefault="00A77DDA">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 3</w:t>
      </w:r>
      <w:r>
        <w:rPr>
          <w:rFonts w:ascii="Times New Roman" w:eastAsia="宋体" w:hAnsi="Times New Roman"/>
          <w:bCs/>
          <w:i/>
          <w:sz w:val="20"/>
          <w:szCs w:val="20"/>
        </w:rPr>
        <w:t xml:space="preserve">: In </w:t>
      </w:r>
      <w:proofErr w:type="spellStart"/>
      <w:r>
        <w:rPr>
          <w:rFonts w:ascii="Times New Roman" w:eastAsia="宋体" w:hAnsi="Times New Roman"/>
          <w:bCs/>
          <w:i/>
          <w:sz w:val="20"/>
          <w:szCs w:val="20"/>
        </w:rPr>
        <w:t>eMTC</w:t>
      </w:r>
      <w:proofErr w:type="spellEnd"/>
      <w:r>
        <w:rPr>
          <w:rFonts w:ascii="Times New Roman" w:eastAsia="宋体" w:hAnsi="Times New Roman"/>
          <w:bCs/>
          <w:i/>
          <w:sz w:val="20"/>
          <w:szCs w:val="20"/>
        </w:rPr>
        <w:t xml:space="preserve"> </w:t>
      </w:r>
      <w:r>
        <w:rPr>
          <w:rFonts w:ascii="Times New Roman" w:eastAsia="宋体" w:hAnsi="Times New Roman" w:cs="Times New Roman"/>
          <w:i/>
          <w:sz w:val="20"/>
          <w:szCs w:val="20"/>
        </w:rPr>
        <w:t>CE mode B</w:t>
      </w:r>
      <w:r>
        <w:rPr>
          <w:rFonts w:ascii="Times New Roman" w:eastAsia="宋体" w:hAnsi="Times New Roman"/>
          <w:bCs/>
          <w:i/>
          <w:sz w:val="20"/>
          <w:szCs w:val="20"/>
        </w:rPr>
        <w:t>, state 0 of “HAR</w:t>
      </w:r>
      <w:r>
        <w:rPr>
          <w:rFonts w:ascii="Times New Roman" w:eastAsia="宋体" w:hAnsi="Times New Roman"/>
          <w:bCs/>
          <w:i/>
          <w:sz w:val="20"/>
          <w:szCs w:val="20"/>
        </w:rPr>
        <w:t>Q-ACK resource offset” field in DCI format 6-1B should be defined as state A to indicate DCI overridden/direct indication, which should be same among different UEs.</w:t>
      </w:r>
    </w:p>
    <w:p w:rsidR="002F0DDA" w:rsidRDefault="00A77DDA">
      <w:pPr>
        <w:numPr>
          <w:ilvl w:val="7"/>
          <w:numId w:val="0"/>
        </w:numPr>
        <w:jc w:val="both"/>
        <w:rPr>
          <w:rFonts w:eastAsia="黑体" w:cs="Times New Roman"/>
          <w:b/>
          <w:bCs/>
          <w:sz w:val="28"/>
          <w:szCs w:val="3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4:</w:t>
      </w:r>
      <w:r>
        <w:rPr>
          <w:rFonts w:ascii="Times New Roman" w:eastAsia="宋体" w:hAnsi="Times New Roman" w:hint="eastAsia"/>
          <w:bCs/>
          <w:i/>
          <w:sz w:val="20"/>
          <w:szCs w:val="20"/>
        </w:rPr>
        <w:t xml:space="preserve"> </w:t>
      </w:r>
      <w:r>
        <w:rPr>
          <w:rFonts w:ascii="Times New Roman" w:hAnsi="Times New Roman" w:cs="Times New Roman"/>
          <w:i/>
          <w:sz w:val="20"/>
          <w:szCs w:val="20"/>
        </w:rPr>
        <w:t xml:space="preserve">For multiple TBs scheduled by single DCI, the DCI based overridden indication </w:t>
      </w:r>
      <w:r>
        <w:rPr>
          <w:rFonts w:ascii="Times New Roman" w:hAnsi="Times New Roman" w:cs="Times New Roman"/>
          <w:i/>
          <w:sz w:val="20"/>
          <w:szCs w:val="20"/>
        </w:rPr>
        <w:t xml:space="preserve">with single indication should be applied to all scheduled </w:t>
      </w:r>
      <w:proofErr w:type="spellStart"/>
      <w:r>
        <w:rPr>
          <w:rFonts w:ascii="Times New Roman" w:hAnsi="Times New Roman" w:cs="Times New Roman"/>
          <w:i/>
          <w:sz w:val="20"/>
          <w:szCs w:val="20"/>
        </w:rPr>
        <w:t>TBs.</w:t>
      </w:r>
      <w:proofErr w:type="spellEnd"/>
    </w:p>
    <w:p w:rsidR="002F0DDA" w:rsidRDefault="00A77DDA">
      <w:pPr>
        <w:numPr>
          <w:ilvl w:val="3"/>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Proposal 5</w:t>
      </w:r>
      <w:r>
        <w:rPr>
          <w:rFonts w:ascii="Times New Roman" w:eastAsia="宋体" w:hAnsi="Times New Roman"/>
          <w:b/>
          <w:i/>
          <w:sz w:val="20"/>
          <w:szCs w:val="20"/>
        </w:rPr>
        <w:t>:</w:t>
      </w:r>
      <w:r>
        <w:rPr>
          <w:rFonts w:ascii="Times New Roman" w:eastAsia="宋体" w:hAnsi="Times New Roman"/>
          <w:bCs/>
          <w:i/>
          <w:sz w:val="20"/>
          <w:szCs w:val="20"/>
        </w:rPr>
        <w:t xml:space="preserve"> </w:t>
      </w:r>
      <w:r>
        <w:rPr>
          <w:rFonts w:ascii="Times New Roman" w:eastAsia="宋体" w:hAnsi="Times New Roman" w:hint="eastAsia"/>
          <w:bCs/>
          <w:i/>
          <w:sz w:val="20"/>
          <w:szCs w:val="20"/>
        </w:rPr>
        <w:t>For multiple TBs scheduled by single DCI with HARQ</w:t>
      </w:r>
      <w:r>
        <w:rPr>
          <w:rFonts w:ascii="Times New Roman" w:eastAsia="宋体" w:hAnsi="Times New Roman"/>
          <w:bCs/>
          <w:i/>
          <w:sz w:val="20"/>
          <w:szCs w:val="20"/>
        </w:rPr>
        <w:t>-ACK</w:t>
      </w:r>
      <w:r>
        <w:rPr>
          <w:rFonts w:ascii="Times New Roman" w:eastAsia="宋体" w:hAnsi="Times New Roman" w:hint="eastAsia"/>
          <w:bCs/>
          <w:i/>
          <w:sz w:val="20"/>
          <w:szCs w:val="20"/>
        </w:rPr>
        <w:t xml:space="preserve"> bundling, ACK/NACK </w:t>
      </w:r>
      <w:r>
        <w:rPr>
          <w:rFonts w:ascii="Times New Roman" w:eastAsia="宋体" w:hAnsi="Times New Roman"/>
          <w:bCs/>
          <w:i/>
          <w:sz w:val="20"/>
          <w:szCs w:val="20"/>
        </w:rPr>
        <w:t xml:space="preserve">for each bundle </w:t>
      </w:r>
      <w:r>
        <w:rPr>
          <w:rFonts w:ascii="Times New Roman" w:eastAsia="宋体" w:hAnsi="Times New Roman" w:hint="eastAsia"/>
          <w:bCs/>
          <w:i/>
          <w:sz w:val="20"/>
          <w:szCs w:val="20"/>
        </w:rPr>
        <w:t xml:space="preserve">is generated </w:t>
      </w:r>
      <w:r>
        <w:rPr>
          <w:rFonts w:ascii="Times New Roman" w:eastAsia="宋体" w:hAnsi="Times New Roman"/>
          <w:bCs/>
          <w:i/>
          <w:sz w:val="20"/>
          <w:szCs w:val="20"/>
        </w:rPr>
        <w:t xml:space="preserve">by considering </w:t>
      </w:r>
      <w:r>
        <w:rPr>
          <w:rFonts w:ascii="Times New Roman" w:eastAsia="宋体" w:hAnsi="Times New Roman" w:hint="eastAsia"/>
          <w:bCs/>
          <w:i/>
          <w:sz w:val="20"/>
          <w:szCs w:val="20"/>
        </w:rPr>
        <w:t xml:space="preserve">only the TBs </w:t>
      </w:r>
      <w:r>
        <w:rPr>
          <w:rFonts w:ascii="Times New Roman" w:eastAsia="宋体" w:hAnsi="Times New Roman"/>
          <w:bCs/>
          <w:i/>
          <w:sz w:val="20"/>
          <w:szCs w:val="20"/>
        </w:rPr>
        <w:t>associated with</w:t>
      </w:r>
      <w:r>
        <w:rPr>
          <w:rFonts w:ascii="Times New Roman" w:eastAsia="宋体" w:hAnsi="Times New Roman" w:hint="eastAsia"/>
          <w:bCs/>
          <w:i/>
          <w:sz w:val="20"/>
          <w:szCs w:val="20"/>
        </w:rPr>
        <w:t xml:space="preserve"> feedback enabled</w:t>
      </w:r>
      <w:r>
        <w:rPr>
          <w:rFonts w:ascii="Times New Roman" w:eastAsia="宋体" w:hAnsi="Times New Roman"/>
          <w:bCs/>
          <w:i/>
          <w:sz w:val="20"/>
          <w:szCs w:val="20"/>
        </w:rPr>
        <w:t xml:space="preserve"> HARQ processes</w:t>
      </w:r>
      <w:r>
        <w:rPr>
          <w:rFonts w:ascii="Times New Roman" w:eastAsia="宋体" w:hAnsi="Times New Roman" w:hint="eastAsia"/>
          <w:bCs/>
          <w:i/>
          <w:sz w:val="20"/>
          <w:szCs w:val="20"/>
        </w:rPr>
        <w:t>.</w:t>
      </w:r>
    </w:p>
    <w:p w:rsidR="002F0DDA" w:rsidRDefault="00A77DDA">
      <w:pPr>
        <w:numPr>
          <w:ilvl w:val="255"/>
          <w:numId w:val="0"/>
        </w:numPr>
        <w:spacing w:after="0" w:line="240" w:lineRule="auto"/>
        <w:rPr>
          <w:rFonts w:ascii="Times New Roman" w:eastAsia="宋体" w:hAnsi="Times New Roman"/>
          <w:b/>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6</w:t>
      </w:r>
      <w:r>
        <w:rPr>
          <w:rFonts w:ascii="Times New Roman" w:eastAsia="宋体" w:hAnsi="Times New Roman"/>
          <w:b/>
          <w:i/>
          <w:sz w:val="20"/>
          <w:szCs w:val="20"/>
        </w:rPr>
        <w:t xml:space="preserve">: </w:t>
      </w:r>
      <w:r>
        <w:rPr>
          <w:rFonts w:ascii="Times New Roman" w:eastAsia="宋体" w:hAnsi="Times New Roman" w:hint="eastAsia"/>
          <w:i/>
          <w:sz w:val="20"/>
          <w:szCs w:val="20"/>
        </w:rPr>
        <w:t>RRC parameter list in</w:t>
      </w:r>
      <w:r>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fldChar w:fldCharType="begin"/>
      </w:r>
      <w:r>
        <w:rPr>
          <w:rFonts w:ascii="Times New Roman" w:eastAsia="宋体" w:hAnsi="Times New Roman" w:cs="Times New Roman"/>
          <w:i/>
          <w:sz w:val="20"/>
          <w:szCs w:val="20"/>
        </w:rPr>
        <w:instrText xml:space="preserve"> REF _Ref134636337 \h </w:instrText>
      </w:r>
      <w:r>
        <w:rPr>
          <w:rFonts w:ascii="Times New Roman" w:eastAsia="宋体" w:hAnsi="Times New Roman" w:cs="Times New Roman" w:hint="eastAsia"/>
          <w:i/>
          <w:sz w:val="20"/>
          <w:szCs w:val="20"/>
        </w:rPr>
      </w:r>
      <w:r>
        <w:rPr>
          <w:rFonts w:ascii="Times New Roman" w:eastAsia="宋体" w:hAnsi="Times New Roman" w:cs="Times New Roman" w:hint="eastAsia"/>
          <w:i/>
          <w:sz w:val="20"/>
          <w:szCs w:val="20"/>
        </w:rPr>
        <w:fldChar w:fldCharType="separate"/>
      </w:r>
      <w:r w:rsidRPr="008245C1">
        <w:rPr>
          <w:rFonts w:ascii="Times New Roman" w:hAnsi="Times New Roman" w:cs="Times New Roman"/>
          <w:i/>
          <w:sz w:val="20"/>
          <w:szCs w:val="20"/>
        </w:rPr>
        <w:t>Table 4</w:t>
      </w:r>
      <w:r>
        <w:rPr>
          <w:rFonts w:ascii="Times New Roman" w:eastAsia="宋体" w:hAnsi="Times New Roman" w:cs="Times New Roman" w:hint="eastAsia"/>
          <w:i/>
          <w:sz w:val="20"/>
          <w:szCs w:val="20"/>
        </w:rPr>
        <w:fldChar w:fldCharType="end"/>
      </w:r>
      <w:r>
        <w:rPr>
          <w:rFonts w:ascii="Times New Roman" w:eastAsia="宋体" w:hAnsi="Times New Roman" w:cs="Times New Roman"/>
          <w:i/>
          <w:sz w:val="20"/>
          <w:szCs w:val="20"/>
        </w:rPr>
        <w:t xml:space="preserve"> can b</w:t>
      </w:r>
      <w:r>
        <w:rPr>
          <w:rFonts w:ascii="Times New Roman" w:eastAsia="宋体" w:hAnsi="Times New Roman" w:hint="eastAsia"/>
          <w:i/>
          <w:sz w:val="20"/>
          <w:szCs w:val="20"/>
        </w:rPr>
        <w:t>e</w:t>
      </w:r>
      <w:r>
        <w:rPr>
          <w:rFonts w:ascii="Times New Roman" w:eastAsia="宋体" w:hAnsi="Times New Roman"/>
          <w:i/>
          <w:sz w:val="20"/>
          <w:szCs w:val="20"/>
        </w:rPr>
        <w:t xml:space="preserve"> supported with corresponding updates</w:t>
      </w:r>
      <w:r>
        <w:rPr>
          <w:rFonts w:ascii="Times New Roman" w:eastAsia="宋体" w:hAnsi="Times New Roman" w:hint="eastAsia"/>
          <w:i/>
          <w:sz w:val="20"/>
          <w:szCs w:val="20"/>
        </w:rPr>
        <w:t>.</w:t>
      </w:r>
    </w:p>
    <w:p w:rsidR="002F0DDA" w:rsidRDefault="00A77DDA">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2F0DDA" w:rsidRDefault="00A77DDA">
      <w:pPr>
        <w:pStyle w:val="ListParagraph1"/>
        <w:numPr>
          <w:ilvl w:val="0"/>
          <w:numId w:val="10"/>
        </w:numPr>
        <w:spacing w:after="0" w:line="240" w:lineRule="auto"/>
        <w:ind w:left="505" w:hanging="505"/>
        <w:rPr>
          <w:rFonts w:ascii="Times New Roman" w:hAnsi="Times New Roman"/>
          <w:sz w:val="20"/>
          <w:szCs w:val="20"/>
        </w:rPr>
      </w:pPr>
      <w:bookmarkStart w:id="12" w:name="_Ref118468455"/>
      <w:bookmarkStart w:id="13" w:name="_Ref29548"/>
      <w:bookmarkStart w:id="14" w:name="_Ref1095"/>
      <w:r>
        <w:rPr>
          <w:rFonts w:ascii="Times New Roman" w:hAnsi="Times New Roman" w:hint="eastAsia"/>
          <w:sz w:val="20"/>
          <w:szCs w:val="20"/>
        </w:rPr>
        <w:t>R1-2306021 FLS#2 on disabling of HARQ feedback for IoT NTN, RAN1 #11</w:t>
      </w:r>
      <w:bookmarkEnd w:id="12"/>
      <w:r>
        <w:rPr>
          <w:rFonts w:ascii="Times New Roman" w:hAnsi="Times New Roman" w:hint="eastAsia"/>
          <w:sz w:val="20"/>
          <w:szCs w:val="20"/>
        </w:rPr>
        <w:t xml:space="preserve">3 </w:t>
      </w:r>
      <w:bookmarkEnd w:id="13"/>
    </w:p>
    <w:p w:rsidR="002F0DDA" w:rsidRDefault="00A77DDA">
      <w:pPr>
        <w:pStyle w:val="ListParagraph1"/>
        <w:numPr>
          <w:ilvl w:val="0"/>
          <w:numId w:val="10"/>
        </w:numPr>
        <w:spacing w:after="0" w:line="240" w:lineRule="auto"/>
        <w:ind w:left="505" w:hanging="505"/>
        <w:rPr>
          <w:rFonts w:ascii="Times New Roman" w:hAnsi="Times New Roman"/>
          <w:sz w:val="20"/>
          <w:szCs w:val="20"/>
        </w:rPr>
      </w:pPr>
      <w:bookmarkStart w:id="15" w:name="_Ref25801"/>
      <w:r>
        <w:rPr>
          <w:rFonts w:ascii="Times New Roman" w:hAnsi="Times New Roman" w:hint="eastAsia"/>
          <w:sz w:val="20"/>
          <w:szCs w:val="20"/>
        </w:rPr>
        <w:t>Final Report of 3GPP TSG RAN WG1 #2AH_NB-IoT v1.0.0</w:t>
      </w:r>
      <w:bookmarkEnd w:id="15"/>
      <w:r>
        <w:rPr>
          <w:rFonts w:ascii="Times New Roman" w:hAnsi="Times New Roman" w:hint="eastAsia"/>
          <w:sz w:val="20"/>
          <w:szCs w:val="20"/>
        </w:rPr>
        <w:t>, RAN1 #2 AH-NB-IoT</w:t>
      </w:r>
    </w:p>
    <w:p w:rsidR="002F0DDA" w:rsidRDefault="00A77DDA">
      <w:pPr>
        <w:pStyle w:val="ListParagraph1"/>
        <w:numPr>
          <w:ilvl w:val="0"/>
          <w:numId w:val="10"/>
        </w:numPr>
        <w:spacing w:after="0" w:line="240" w:lineRule="auto"/>
        <w:ind w:left="505" w:hanging="505"/>
        <w:rPr>
          <w:rFonts w:ascii="Times New Roman" w:hAnsi="Times New Roman"/>
          <w:sz w:val="20"/>
          <w:szCs w:val="20"/>
        </w:rPr>
      </w:pPr>
      <w:bookmarkStart w:id="16" w:name="_Ref25304"/>
      <w:r>
        <w:rPr>
          <w:rFonts w:ascii="Times New Roman" w:hAnsi="Times New Roman" w:hint="eastAsia"/>
          <w:sz w:val="20"/>
          <w:szCs w:val="20"/>
        </w:rPr>
        <w:t>Final Report of 3GPP TSG RAN WG1 #84bis v1.0.0, RAN1 #84b</w:t>
      </w:r>
      <w:bookmarkEnd w:id="16"/>
    </w:p>
    <w:p w:rsidR="002F0DDA" w:rsidRDefault="00A77DDA">
      <w:pPr>
        <w:pStyle w:val="ListParagraph1"/>
        <w:numPr>
          <w:ilvl w:val="0"/>
          <w:numId w:val="10"/>
        </w:numPr>
        <w:spacing w:after="0" w:line="240" w:lineRule="auto"/>
        <w:ind w:left="505" w:hanging="505"/>
        <w:rPr>
          <w:rFonts w:ascii="Times New Roman" w:hAnsi="Times New Roman"/>
          <w:sz w:val="20"/>
          <w:szCs w:val="20"/>
        </w:rPr>
      </w:pPr>
      <w:bookmarkStart w:id="17" w:name="_Ref26000"/>
      <w:r>
        <w:rPr>
          <w:rFonts w:ascii="Times New Roman" w:hAnsi="Times New Roman" w:hint="eastAsia"/>
          <w:sz w:val="20"/>
          <w:szCs w:val="20"/>
        </w:rPr>
        <w:t>36.213 Evolved Universal Terrestrial Radio Access (E-UTRA); Physical layer procedures</w:t>
      </w:r>
      <w:bookmarkEnd w:id="17"/>
    </w:p>
    <w:p w:rsidR="002F0DDA" w:rsidRDefault="00A77DDA">
      <w:pPr>
        <w:pStyle w:val="ListParagraph1"/>
        <w:numPr>
          <w:ilvl w:val="0"/>
          <w:numId w:val="10"/>
        </w:numPr>
        <w:spacing w:after="0" w:line="240" w:lineRule="auto"/>
        <w:ind w:left="505" w:hanging="505"/>
        <w:rPr>
          <w:rFonts w:ascii="Times New Roman" w:hAnsi="Times New Roman"/>
          <w:sz w:val="20"/>
          <w:szCs w:val="20"/>
        </w:rPr>
      </w:pPr>
      <w:bookmarkStart w:id="18" w:name="_Ref25856"/>
      <w:r>
        <w:rPr>
          <w:rFonts w:ascii="Times New Roman" w:hAnsi="Times New Roman" w:hint="eastAsia"/>
          <w:sz w:val="20"/>
          <w:szCs w:val="20"/>
        </w:rPr>
        <w:t>Final Report of 3GPP TSG RAN W</w:t>
      </w:r>
      <w:r>
        <w:rPr>
          <w:rFonts w:ascii="Times New Roman" w:hAnsi="Times New Roman" w:hint="eastAsia"/>
          <w:sz w:val="20"/>
          <w:szCs w:val="20"/>
        </w:rPr>
        <w:t>G1 #85 v1.0.0, RAN1 #85</w:t>
      </w:r>
      <w:bookmarkEnd w:id="18"/>
    </w:p>
    <w:bookmarkEnd w:id="14"/>
    <w:p w:rsidR="002F0DDA" w:rsidRDefault="002F0DDA">
      <w:pPr>
        <w:pStyle w:val="ListParagraph1"/>
        <w:numPr>
          <w:ilvl w:val="255"/>
          <w:numId w:val="0"/>
        </w:numPr>
        <w:spacing w:after="0" w:line="20" w:lineRule="exact"/>
        <w:ind w:left="720"/>
        <w:rPr>
          <w:rFonts w:ascii="Times New Roman" w:hAnsi="Times New Roman"/>
          <w:sz w:val="20"/>
          <w:szCs w:val="20"/>
        </w:rPr>
      </w:pPr>
    </w:p>
    <w:sectPr w:rsidR="002F0D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DDA" w:rsidRDefault="00A77DDA">
      <w:pPr>
        <w:spacing w:line="240" w:lineRule="auto"/>
      </w:pPr>
      <w:r>
        <w:separator/>
      </w:r>
    </w:p>
  </w:endnote>
  <w:endnote w:type="continuationSeparator" w:id="0">
    <w:p w:rsidR="00A77DDA" w:rsidRDefault="00A77D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DDA" w:rsidRDefault="00A77DDA">
      <w:pPr>
        <w:spacing w:after="0"/>
      </w:pPr>
      <w:r>
        <w:separator/>
      </w:r>
    </w:p>
  </w:footnote>
  <w:footnote w:type="continuationSeparator" w:id="0">
    <w:p w:rsidR="00A77DDA" w:rsidRDefault="00A77D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836E65"/>
    <w:multiLevelType w:val="singleLevel"/>
    <w:tmpl w:val="97836E65"/>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843B36"/>
    <w:multiLevelType w:val="multilevel"/>
    <w:tmpl w:val="40843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68A5B3"/>
    <w:multiLevelType w:val="singleLevel"/>
    <w:tmpl w:val="4168A5B3"/>
    <w:lvl w:ilvl="0">
      <w:start w:val="1"/>
      <w:numFmt w:val="bullet"/>
      <w:lvlText w:val="▪"/>
      <w:lvlJc w:val="left"/>
      <w:pPr>
        <w:ind w:left="420" w:hanging="420"/>
      </w:pPr>
      <w:rPr>
        <w:rFonts w:ascii="微软雅黑" w:eastAsia="微软雅黑" w:hAnsi="微软雅黑" w:cs="微软雅黑" w:hint="default"/>
      </w:r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B1A6098"/>
    <w:multiLevelType w:val="multilevel"/>
    <w:tmpl w:val="7B1A60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0"/>
  </w:num>
  <w:num w:numId="7">
    <w:abstractNumId w:val="3"/>
  </w:num>
  <w:num w:numId="8">
    <w:abstractNumId w:val="9"/>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71C2"/>
    <w:rsid w:val="000207B3"/>
    <w:rsid w:val="00021434"/>
    <w:rsid w:val="00021AAE"/>
    <w:rsid w:val="00022E51"/>
    <w:rsid w:val="00022EDE"/>
    <w:rsid w:val="00024040"/>
    <w:rsid w:val="0002404A"/>
    <w:rsid w:val="0002439E"/>
    <w:rsid w:val="00024905"/>
    <w:rsid w:val="0002507F"/>
    <w:rsid w:val="000255C7"/>
    <w:rsid w:val="00026E46"/>
    <w:rsid w:val="000305EC"/>
    <w:rsid w:val="00031996"/>
    <w:rsid w:val="00031F57"/>
    <w:rsid w:val="00033FA7"/>
    <w:rsid w:val="0003439E"/>
    <w:rsid w:val="00035FB8"/>
    <w:rsid w:val="00036AFC"/>
    <w:rsid w:val="00036B8C"/>
    <w:rsid w:val="00037989"/>
    <w:rsid w:val="00040044"/>
    <w:rsid w:val="0004019D"/>
    <w:rsid w:val="00042798"/>
    <w:rsid w:val="00043AF2"/>
    <w:rsid w:val="00044E05"/>
    <w:rsid w:val="00044F8D"/>
    <w:rsid w:val="00046E70"/>
    <w:rsid w:val="00046EC1"/>
    <w:rsid w:val="00047081"/>
    <w:rsid w:val="00052ACC"/>
    <w:rsid w:val="00053670"/>
    <w:rsid w:val="00054718"/>
    <w:rsid w:val="00054B9E"/>
    <w:rsid w:val="0005556D"/>
    <w:rsid w:val="00055DCC"/>
    <w:rsid w:val="0005679C"/>
    <w:rsid w:val="0005706E"/>
    <w:rsid w:val="000600A4"/>
    <w:rsid w:val="00060762"/>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AD"/>
    <w:rsid w:val="001030E2"/>
    <w:rsid w:val="00103A1D"/>
    <w:rsid w:val="00103ADE"/>
    <w:rsid w:val="001040A3"/>
    <w:rsid w:val="001042A2"/>
    <w:rsid w:val="001053A6"/>
    <w:rsid w:val="00111BF3"/>
    <w:rsid w:val="001125EE"/>
    <w:rsid w:val="001140B1"/>
    <w:rsid w:val="0011457F"/>
    <w:rsid w:val="001164E7"/>
    <w:rsid w:val="00116CCC"/>
    <w:rsid w:val="00116D16"/>
    <w:rsid w:val="001175A0"/>
    <w:rsid w:val="0011771D"/>
    <w:rsid w:val="00117825"/>
    <w:rsid w:val="00120E8A"/>
    <w:rsid w:val="00122358"/>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6CC6"/>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67D38"/>
    <w:rsid w:val="001703CB"/>
    <w:rsid w:val="00170CD6"/>
    <w:rsid w:val="0017178D"/>
    <w:rsid w:val="00171D67"/>
    <w:rsid w:val="00172A27"/>
    <w:rsid w:val="00173343"/>
    <w:rsid w:val="00173624"/>
    <w:rsid w:val="00174EE5"/>
    <w:rsid w:val="00176371"/>
    <w:rsid w:val="00176496"/>
    <w:rsid w:val="001767AB"/>
    <w:rsid w:val="00176870"/>
    <w:rsid w:val="00176CE4"/>
    <w:rsid w:val="00177052"/>
    <w:rsid w:val="0018253F"/>
    <w:rsid w:val="00182968"/>
    <w:rsid w:val="00183086"/>
    <w:rsid w:val="0018409B"/>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146"/>
    <w:rsid w:val="001C34AE"/>
    <w:rsid w:val="001C4B12"/>
    <w:rsid w:val="001C53EA"/>
    <w:rsid w:val="001C7A72"/>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247E"/>
    <w:rsid w:val="001F42FD"/>
    <w:rsid w:val="001F435A"/>
    <w:rsid w:val="001F532D"/>
    <w:rsid w:val="001F6735"/>
    <w:rsid w:val="001F73F8"/>
    <w:rsid w:val="001F7E2A"/>
    <w:rsid w:val="00200BD9"/>
    <w:rsid w:val="0020127D"/>
    <w:rsid w:val="00201AD8"/>
    <w:rsid w:val="00202971"/>
    <w:rsid w:val="00203B34"/>
    <w:rsid w:val="00205322"/>
    <w:rsid w:val="00205C98"/>
    <w:rsid w:val="00206259"/>
    <w:rsid w:val="00211192"/>
    <w:rsid w:val="00212D96"/>
    <w:rsid w:val="00213BC3"/>
    <w:rsid w:val="002150C0"/>
    <w:rsid w:val="00215B4B"/>
    <w:rsid w:val="00215C0C"/>
    <w:rsid w:val="00217CD0"/>
    <w:rsid w:val="00220720"/>
    <w:rsid w:val="00220F13"/>
    <w:rsid w:val="002214E3"/>
    <w:rsid w:val="00222B41"/>
    <w:rsid w:val="002239D1"/>
    <w:rsid w:val="002239E2"/>
    <w:rsid w:val="002260BF"/>
    <w:rsid w:val="002277AA"/>
    <w:rsid w:val="0022789A"/>
    <w:rsid w:val="00227B9F"/>
    <w:rsid w:val="002300DA"/>
    <w:rsid w:val="00230E2F"/>
    <w:rsid w:val="002337F7"/>
    <w:rsid w:val="00234FE9"/>
    <w:rsid w:val="0023707C"/>
    <w:rsid w:val="00237C5F"/>
    <w:rsid w:val="0024089A"/>
    <w:rsid w:val="00241E81"/>
    <w:rsid w:val="00241FC9"/>
    <w:rsid w:val="00242177"/>
    <w:rsid w:val="0024697D"/>
    <w:rsid w:val="0024761D"/>
    <w:rsid w:val="002509D8"/>
    <w:rsid w:val="00252A27"/>
    <w:rsid w:val="00253B31"/>
    <w:rsid w:val="00253EAE"/>
    <w:rsid w:val="00255D8E"/>
    <w:rsid w:val="00255E7F"/>
    <w:rsid w:val="00260795"/>
    <w:rsid w:val="002613B6"/>
    <w:rsid w:val="00261495"/>
    <w:rsid w:val="002617C9"/>
    <w:rsid w:val="002628A3"/>
    <w:rsid w:val="00263CF8"/>
    <w:rsid w:val="002648CA"/>
    <w:rsid w:val="00266010"/>
    <w:rsid w:val="002662CE"/>
    <w:rsid w:val="0026671F"/>
    <w:rsid w:val="002667CD"/>
    <w:rsid w:val="00271029"/>
    <w:rsid w:val="00272F96"/>
    <w:rsid w:val="002733D4"/>
    <w:rsid w:val="0027491E"/>
    <w:rsid w:val="002749B2"/>
    <w:rsid w:val="002804CA"/>
    <w:rsid w:val="00282B5B"/>
    <w:rsid w:val="0028590B"/>
    <w:rsid w:val="002863A3"/>
    <w:rsid w:val="00286A1A"/>
    <w:rsid w:val="00290042"/>
    <w:rsid w:val="002901AB"/>
    <w:rsid w:val="00290412"/>
    <w:rsid w:val="00291D82"/>
    <w:rsid w:val="002924F9"/>
    <w:rsid w:val="00292C07"/>
    <w:rsid w:val="00293C9A"/>
    <w:rsid w:val="0029575D"/>
    <w:rsid w:val="00295CB2"/>
    <w:rsid w:val="00295FED"/>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6A1F"/>
    <w:rsid w:val="002C7437"/>
    <w:rsid w:val="002D0710"/>
    <w:rsid w:val="002D109F"/>
    <w:rsid w:val="002D1FE0"/>
    <w:rsid w:val="002D35C9"/>
    <w:rsid w:val="002D3617"/>
    <w:rsid w:val="002D3E6A"/>
    <w:rsid w:val="002D4D12"/>
    <w:rsid w:val="002D4F8A"/>
    <w:rsid w:val="002D6661"/>
    <w:rsid w:val="002D6821"/>
    <w:rsid w:val="002D6C7D"/>
    <w:rsid w:val="002D74A4"/>
    <w:rsid w:val="002E0B56"/>
    <w:rsid w:val="002E0C9D"/>
    <w:rsid w:val="002E2D9B"/>
    <w:rsid w:val="002E3656"/>
    <w:rsid w:val="002E5475"/>
    <w:rsid w:val="002E5A0C"/>
    <w:rsid w:val="002E5F90"/>
    <w:rsid w:val="002E637E"/>
    <w:rsid w:val="002E6858"/>
    <w:rsid w:val="002E7D93"/>
    <w:rsid w:val="002E7F8A"/>
    <w:rsid w:val="002E7F97"/>
    <w:rsid w:val="002F0209"/>
    <w:rsid w:val="002F0DDA"/>
    <w:rsid w:val="002F16C4"/>
    <w:rsid w:val="002F2A52"/>
    <w:rsid w:val="002F36E5"/>
    <w:rsid w:val="002F37E8"/>
    <w:rsid w:val="002F4A23"/>
    <w:rsid w:val="002F621A"/>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48E2"/>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472C2"/>
    <w:rsid w:val="003503C4"/>
    <w:rsid w:val="00350FBC"/>
    <w:rsid w:val="00351908"/>
    <w:rsid w:val="0035204B"/>
    <w:rsid w:val="00352086"/>
    <w:rsid w:val="003529BD"/>
    <w:rsid w:val="003557F6"/>
    <w:rsid w:val="003621CE"/>
    <w:rsid w:val="003627EF"/>
    <w:rsid w:val="003634E2"/>
    <w:rsid w:val="00363A78"/>
    <w:rsid w:val="003643F8"/>
    <w:rsid w:val="003663BC"/>
    <w:rsid w:val="0036642C"/>
    <w:rsid w:val="00366F67"/>
    <w:rsid w:val="0037065F"/>
    <w:rsid w:val="003720D1"/>
    <w:rsid w:val="0037266D"/>
    <w:rsid w:val="00375C1F"/>
    <w:rsid w:val="00376270"/>
    <w:rsid w:val="003813C9"/>
    <w:rsid w:val="003821A4"/>
    <w:rsid w:val="0038331A"/>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C21"/>
    <w:rsid w:val="003A6F46"/>
    <w:rsid w:val="003B1113"/>
    <w:rsid w:val="003B1C09"/>
    <w:rsid w:val="003B1F2F"/>
    <w:rsid w:val="003B3197"/>
    <w:rsid w:val="003B4369"/>
    <w:rsid w:val="003B47ED"/>
    <w:rsid w:val="003B5BAE"/>
    <w:rsid w:val="003C193E"/>
    <w:rsid w:val="003C4959"/>
    <w:rsid w:val="003C4B3D"/>
    <w:rsid w:val="003C54CC"/>
    <w:rsid w:val="003C562C"/>
    <w:rsid w:val="003C67E4"/>
    <w:rsid w:val="003C6911"/>
    <w:rsid w:val="003C7925"/>
    <w:rsid w:val="003D0C02"/>
    <w:rsid w:val="003D1BA8"/>
    <w:rsid w:val="003D1D14"/>
    <w:rsid w:val="003D471D"/>
    <w:rsid w:val="003D645F"/>
    <w:rsid w:val="003D77D6"/>
    <w:rsid w:val="003E10DC"/>
    <w:rsid w:val="003E1632"/>
    <w:rsid w:val="003E21E9"/>
    <w:rsid w:val="003E239D"/>
    <w:rsid w:val="003E498A"/>
    <w:rsid w:val="003E49BB"/>
    <w:rsid w:val="003E4FCA"/>
    <w:rsid w:val="003E4FD3"/>
    <w:rsid w:val="003E7670"/>
    <w:rsid w:val="003F097C"/>
    <w:rsid w:val="003F16AA"/>
    <w:rsid w:val="003F2293"/>
    <w:rsid w:val="003F342B"/>
    <w:rsid w:val="003F4010"/>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C6"/>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1C59"/>
    <w:rsid w:val="00463942"/>
    <w:rsid w:val="00464E35"/>
    <w:rsid w:val="004654BC"/>
    <w:rsid w:val="004654CB"/>
    <w:rsid w:val="00466B93"/>
    <w:rsid w:val="004702C2"/>
    <w:rsid w:val="004715B7"/>
    <w:rsid w:val="004729EF"/>
    <w:rsid w:val="00472E3C"/>
    <w:rsid w:val="004731FE"/>
    <w:rsid w:val="00476B4B"/>
    <w:rsid w:val="004809B5"/>
    <w:rsid w:val="0048145B"/>
    <w:rsid w:val="00481B43"/>
    <w:rsid w:val="0048347E"/>
    <w:rsid w:val="00483DAA"/>
    <w:rsid w:val="00484022"/>
    <w:rsid w:val="0048570C"/>
    <w:rsid w:val="00486224"/>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07759"/>
    <w:rsid w:val="0051054E"/>
    <w:rsid w:val="00514A5F"/>
    <w:rsid w:val="0051511D"/>
    <w:rsid w:val="0051721B"/>
    <w:rsid w:val="00517CC8"/>
    <w:rsid w:val="00520474"/>
    <w:rsid w:val="0052302B"/>
    <w:rsid w:val="00524211"/>
    <w:rsid w:val="005245D8"/>
    <w:rsid w:val="0052543C"/>
    <w:rsid w:val="00525D0D"/>
    <w:rsid w:val="00527981"/>
    <w:rsid w:val="00531476"/>
    <w:rsid w:val="00531C32"/>
    <w:rsid w:val="00532BE2"/>
    <w:rsid w:val="00533E6F"/>
    <w:rsid w:val="00535ED3"/>
    <w:rsid w:val="00536865"/>
    <w:rsid w:val="00541778"/>
    <w:rsid w:val="00541970"/>
    <w:rsid w:val="00541AC2"/>
    <w:rsid w:val="00542F50"/>
    <w:rsid w:val="005434EA"/>
    <w:rsid w:val="0054377D"/>
    <w:rsid w:val="005439BB"/>
    <w:rsid w:val="00544E58"/>
    <w:rsid w:val="0054609D"/>
    <w:rsid w:val="00546AA2"/>
    <w:rsid w:val="00547EED"/>
    <w:rsid w:val="00550032"/>
    <w:rsid w:val="005535D2"/>
    <w:rsid w:val="00555010"/>
    <w:rsid w:val="0055515C"/>
    <w:rsid w:val="00555635"/>
    <w:rsid w:val="0055771C"/>
    <w:rsid w:val="00557DF7"/>
    <w:rsid w:val="00560112"/>
    <w:rsid w:val="0056072D"/>
    <w:rsid w:val="00561353"/>
    <w:rsid w:val="00561956"/>
    <w:rsid w:val="0056261E"/>
    <w:rsid w:val="005631E5"/>
    <w:rsid w:val="005706A3"/>
    <w:rsid w:val="005707D7"/>
    <w:rsid w:val="00572450"/>
    <w:rsid w:val="00572794"/>
    <w:rsid w:val="005776B3"/>
    <w:rsid w:val="00577B25"/>
    <w:rsid w:val="00577FA3"/>
    <w:rsid w:val="005800AE"/>
    <w:rsid w:val="005811E1"/>
    <w:rsid w:val="005818F2"/>
    <w:rsid w:val="00583585"/>
    <w:rsid w:val="00584402"/>
    <w:rsid w:val="0058467B"/>
    <w:rsid w:val="00584754"/>
    <w:rsid w:val="005847B4"/>
    <w:rsid w:val="0058732C"/>
    <w:rsid w:val="00587AD4"/>
    <w:rsid w:val="00587B31"/>
    <w:rsid w:val="00587CAC"/>
    <w:rsid w:val="00587DA4"/>
    <w:rsid w:val="00591874"/>
    <w:rsid w:val="00591995"/>
    <w:rsid w:val="00591A9A"/>
    <w:rsid w:val="00591AFC"/>
    <w:rsid w:val="00593A13"/>
    <w:rsid w:val="00593FE7"/>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4101"/>
    <w:rsid w:val="005B4921"/>
    <w:rsid w:val="005B4E40"/>
    <w:rsid w:val="005B55FD"/>
    <w:rsid w:val="005B563C"/>
    <w:rsid w:val="005B6FE5"/>
    <w:rsid w:val="005B7EB5"/>
    <w:rsid w:val="005C07D3"/>
    <w:rsid w:val="005C1775"/>
    <w:rsid w:val="005C25C8"/>
    <w:rsid w:val="005C39A8"/>
    <w:rsid w:val="005C4B35"/>
    <w:rsid w:val="005C5ADE"/>
    <w:rsid w:val="005C5C1D"/>
    <w:rsid w:val="005C6038"/>
    <w:rsid w:val="005C611C"/>
    <w:rsid w:val="005C7591"/>
    <w:rsid w:val="005C7BD4"/>
    <w:rsid w:val="005D0855"/>
    <w:rsid w:val="005D0FDD"/>
    <w:rsid w:val="005D13C0"/>
    <w:rsid w:val="005D3984"/>
    <w:rsid w:val="005D720D"/>
    <w:rsid w:val="005E056A"/>
    <w:rsid w:val="005E0A93"/>
    <w:rsid w:val="005E0E1D"/>
    <w:rsid w:val="005E2461"/>
    <w:rsid w:val="005E247B"/>
    <w:rsid w:val="005E3D32"/>
    <w:rsid w:val="005E4CFC"/>
    <w:rsid w:val="005E52AF"/>
    <w:rsid w:val="005E567C"/>
    <w:rsid w:val="005E5A35"/>
    <w:rsid w:val="005E5C58"/>
    <w:rsid w:val="005F1C4C"/>
    <w:rsid w:val="005F347D"/>
    <w:rsid w:val="005F4060"/>
    <w:rsid w:val="005F5FD1"/>
    <w:rsid w:val="005F6497"/>
    <w:rsid w:val="005F6A35"/>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432E"/>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4290"/>
    <w:rsid w:val="006651B0"/>
    <w:rsid w:val="006652A5"/>
    <w:rsid w:val="006679C0"/>
    <w:rsid w:val="00671DCE"/>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6DFE"/>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01A"/>
    <w:rsid w:val="00707AB5"/>
    <w:rsid w:val="00711028"/>
    <w:rsid w:val="007110BD"/>
    <w:rsid w:val="00711C5C"/>
    <w:rsid w:val="00713CDF"/>
    <w:rsid w:val="0071444C"/>
    <w:rsid w:val="007153CF"/>
    <w:rsid w:val="00715D6F"/>
    <w:rsid w:val="0071629F"/>
    <w:rsid w:val="00716683"/>
    <w:rsid w:val="00717015"/>
    <w:rsid w:val="00720231"/>
    <w:rsid w:val="00720CE7"/>
    <w:rsid w:val="0072125E"/>
    <w:rsid w:val="00721DCF"/>
    <w:rsid w:val="0072286D"/>
    <w:rsid w:val="00723992"/>
    <w:rsid w:val="00723A1F"/>
    <w:rsid w:val="00724E82"/>
    <w:rsid w:val="007250D7"/>
    <w:rsid w:val="00725141"/>
    <w:rsid w:val="0072584B"/>
    <w:rsid w:val="00727B0F"/>
    <w:rsid w:val="00727CFC"/>
    <w:rsid w:val="00730673"/>
    <w:rsid w:val="00730741"/>
    <w:rsid w:val="00730EFD"/>
    <w:rsid w:val="00731300"/>
    <w:rsid w:val="00734A39"/>
    <w:rsid w:val="00735B04"/>
    <w:rsid w:val="00737944"/>
    <w:rsid w:val="007403F3"/>
    <w:rsid w:val="00741F46"/>
    <w:rsid w:val="00742CED"/>
    <w:rsid w:val="00744CC0"/>
    <w:rsid w:val="00744DC7"/>
    <w:rsid w:val="0074513B"/>
    <w:rsid w:val="007453DB"/>
    <w:rsid w:val="00745D0B"/>
    <w:rsid w:val="00745EBE"/>
    <w:rsid w:val="00746683"/>
    <w:rsid w:val="0074757F"/>
    <w:rsid w:val="0074781F"/>
    <w:rsid w:val="00747A13"/>
    <w:rsid w:val="00752F91"/>
    <w:rsid w:val="007532A0"/>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559B"/>
    <w:rsid w:val="00777A2D"/>
    <w:rsid w:val="00777FE7"/>
    <w:rsid w:val="00781382"/>
    <w:rsid w:val="007824B2"/>
    <w:rsid w:val="0078257B"/>
    <w:rsid w:val="00782A64"/>
    <w:rsid w:val="0078436A"/>
    <w:rsid w:val="0078446D"/>
    <w:rsid w:val="0078687B"/>
    <w:rsid w:val="00786908"/>
    <w:rsid w:val="0078717C"/>
    <w:rsid w:val="0078758C"/>
    <w:rsid w:val="00790721"/>
    <w:rsid w:val="007907A9"/>
    <w:rsid w:val="00790841"/>
    <w:rsid w:val="007918C5"/>
    <w:rsid w:val="00792482"/>
    <w:rsid w:val="007934C2"/>
    <w:rsid w:val="00794C8F"/>
    <w:rsid w:val="00795067"/>
    <w:rsid w:val="00795081"/>
    <w:rsid w:val="00796100"/>
    <w:rsid w:val="00796AB0"/>
    <w:rsid w:val="00797BF0"/>
    <w:rsid w:val="007A016B"/>
    <w:rsid w:val="007A040B"/>
    <w:rsid w:val="007A0978"/>
    <w:rsid w:val="007A29B5"/>
    <w:rsid w:val="007A29D7"/>
    <w:rsid w:val="007A4006"/>
    <w:rsid w:val="007A41C8"/>
    <w:rsid w:val="007A4DB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B7F1B"/>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5A17"/>
    <w:rsid w:val="007E62AD"/>
    <w:rsid w:val="007E6927"/>
    <w:rsid w:val="007F12AD"/>
    <w:rsid w:val="007F19DB"/>
    <w:rsid w:val="007F2E8A"/>
    <w:rsid w:val="007F3575"/>
    <w:rsid w:val="007F457F"/>
    <w:rsid w:val="007F4FDC"/>
    <w:rsid w:val="007F568B"/>
    <w:rsid w:val="007F56C2"/>
    <w:rsid w:val="007F5D5F"/>
    <w:rsid w:val="007F73B4"/>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45C1"/>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6F8A"/>
    <w:rsid w:val="008A7FFA"/>
    <w:rsid w:val="008B0592"/>
    <w:rsid w:val="008B1149"/>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4A4E"/>
    <w:rsid w:val="0090680C"/>
    <w:rsid w:val="00906E21"/>
    <w:rsid w:val="00907734"/>
    <w:rsid w:val="009077A1"/>
    <w:rsid w:val="00910209"/>
    <w:rsid w:val="00910E66"/>
    <w:rsid w:val="0091129D"/>
    <w:rsid w:val="00917598"/>
    <w:rsid w:val="009175DC"/>
    <w:rsid w:val="00917D76"/>
    <w:rsid w:val="00917DC8"/>
    <w:rsid w:val="0092166C"/>
    <w:rsid w:val="00921B3A"/>
    <w:rsid w:val="009222AF"/>
    <w:rsid w:val="00923489"/>
    <w:rsid w:val="009258EB"/>
    <w:rsid w:val="009264C7"/>
    <w:rsid w:val="00926F55"/>
    <w:rsid w:val="00927355"/>
    <w:rsid w:val="00927AD8"/>
    <w:rsid w:val="00927F24"/>
    <w:rsid w:val="00930C1E"/>
    <w:rsid w:val="00931B4D"/>
    <w:rsid w:val="00933578"/>
    <w:rsid w:val="00933AAB"/>
    <w:rsid w:val="00934843"/>
    <w:rsid w:val="00934E6E"/>
    <w:rsid w:val="00935F25"/>
    <w:rsid w:val="00937C27"/>
    <w:rsid w:val="0094282A"/>
    <w:rsid w:val="0094298F"/>
    <w:rsid w:val="00942CBD"/>
    <w:rsid w:val="00943D86"/>
    <w:rsid w:val="0094500B"/>
    <w:rsid w:val="00947C0C"/>
    <w:rsid w:val="00951A21"/>
    <w:rsid w:val="00953A05"/>
    <w:rsid w:val="00954629"/>
    <w:rsid w:val="009546E6"/>
    <w:rsid w:val="00954CFA"/>
    <w:rsid w:val="009562E2"/>
    <w:rsid w:val="00956DE4"/>
    <w:rsid w:val="009668B8"/>
    <w:rsid w:val="0096717D"/>
    <w:rsid w:val="0096751C"/>
    <w:rsid w:val="009679E4"/>
    <w:rsid w:val="009706AB"/>
    <w:rsid w:val="0097112C"/>
    <w:rsid w:val="00971E51"/>
    <w:rsid w:val="0097331E"/>
    <w:rsid w:val="0097384E"/>
    <w:rsid w:val="009738C4"/>
    <w:rsid w:val="00974B8B"/>
    <w:rsid w:val="00975429"/>
    <w:rsid w:val="00976332"/>
    <w:rsid w:val="00976F12"/>
    <w:rsid w:val="009771BE"/>
    <w:rsid w:val="009773DA"/>
    <w:rsid w:val="00977D7C"/>
    <w:rsid w:val="00980649"/>
    <w:rsid w:val="00980C63"/>
    <w:rsid w:val="009817F8"/>
    <w:rsid w:val="00981C8B"/>
    <w:rsid w:val="00981FCC"/>
    <w:rsid w:val="009849A7"/>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4FAF"/>
    <w:rsid w:val="009B6121"/>
    <w:rsid w:val="009B6D4D"/>
    <w:rsid w:val="009B73D9"/>
    <w:rsid w:val="009B7CD7"/>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533"/>
    <w:rsid w:val="009F1B51"/>
    <w:rsid w:val="009F1BB9"/>
    <w:rsid w:val="009F1D1C"/>
    <w:rsid w:val="009F3086"/>
    <w:rsid w:val="009F328A"/>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18A4"/>
    <w:rsid w:val="00A53145"/>
    <w:rsid w:val="00A53E54"/>
    <w:rsid w:val="00A54BEB"/>
    <w:rsid w:val="00A5587B"/>
    <w:rsid w:val="00A56784"/>
    <w:rsid w:val="00A56FCC"/>
    <w:rsid w:val="00A57582"/>
    <w:rsid w:val="00A60431"/>
    <w:rsid w:val="00A61063"/>
    <w:rsid w:val="00A61331"/>
    <w:rsid w:val="00A614BB"/>
    <w:rsid w:val="00A63C29"/>
    <w:rsid w:val="00A63F98"/>
    <w:rsid w:val="00A663F5"/>
    <w:rsid w:val="00A66542"/>
    <w:rsid w:val="00A66B50"/>
    <w:rsid w:val="00A67884"/>
    <w:rsid w:val="00A70F38"/>
    <w:rsid w:val="00A7397C"/>
    <w:rsid w:val="00A74A33"/>
    <w:rsid w:val="00A75949"/>
    <w:rsid w:val="00A75EAA"/>
    <w:rsid w:val="00A779FB"/>
    <w:rsid w:val="00A77DDA"/>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50D9"/>
    <w:rsid w:val="00AB531C"/>
    <w:rsid w:val="00AB537C"/>
    <w:rsid w:val="00AB64AA"/>
    <w:rsid w:val="00AB6D56"/>
    <w:rsid w:val="00AB780E"/>
    <w:rsid w:val="00AC05F8"/>
    <w:rsid w:val="00AC0699"/>
    <w:rsid w:val="00AC259E"/>
    <w:rsid w:val="00AC4364"/>
    <w:rsid w:val="00AC4A84"/>
    <w:rsid w:val="00AC50CA"/>
    <w:rsid w:val="00AC646F"/>
    <w:rsid w:val="00AC682B"/>
    <w:rsid w:val="00AC6CF4"/>
    <w:rsid w:val="00AC7005"/>
    <w:rsid w:val="00AC79C6"/>
    <w:rsid w:val="00AC7D91"/>
    <w:rsid w:val="00AD05C0"/>
    <w:rsid w:val="00AD0954"/>
    <w:rsid w:val="00AD0E30"/>
    <w:rsid w:val="00AD13D8"/>
    <w:rsid w:val="00AD16C8"/>
    <w:rsid w:val="00AD383D"/>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019"/>
    <w:rsid w:val="00B07AC8"/>
    <w:rsid w:val="00B10606"/>
    <w:rsid w:val="00B1067F"/>
    <w:rsid w:val="00B11050"/>
    <w:rsid w:val="00B112F5"/>
    <w:rsid w:val="00B11A35"/>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4E20"/>
    <w:rsid w:val="00B24F64"/>
    <w:rsid w:val="00B25439"/>
    <w:rsid w:val="00B27659"/>
    <w:rsid w:val="00B30102"/>
    <w:rsid w:val="00B310C0"/>
    <w:rsid w:val="00B31540"/>
    <w:rsid w:val="00B31606"/>
    <w:rsid w:val="00B32D35"/>
    <w:rsid w:val="00B3399A"/>
    <w:rsid w:val="00B33E8A"/>
    <w:rsid w:val="00B3420B"/>
    <w:rsid w:val="00B34BB6"/>
    <w:rsid w:val="00B367C9"/>
    <w:rsid w:val="00B36BF1"/>
    <w:rsid w:val="00B36CCF"/>
    <w:rsid w:val="00B408D6"/>
    <w:rsid w:val="00B40FC9"/>
    <w:rsid w:val="00B427F7"/>
    <w:rsid w:val="00B42F08"/>
    <w:rsid w:val="00B45370"/>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57A56"/>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3C68"/>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1D4"/>
    <w:rsid w:val="00BA0E38"/>
    <w:rsid w:val="00BA25B0"/>
    <w:rsid w:val="00BA3D28"/>
    <w:rsid w:val="00BA43EB"/>
    <w:rsid w:val="00BA5F85"/>
    <w:rsid w:val="00BA6C50"/>
    <w:rsid w:val="00BA74BB"/>
    <w:rsid w:val="00BA75F8"/>
    <w:rsid w:val="00BA767D"/>
    <w:rsid w:val="00BB0826"/>
    <w:rsid w:val="00BB0E75"/>
    <w:rsid w:val="00BB173A"/>
    <w:rsid w:val="00BB607D"/>
    <w:rsid w:val="00BB76F9"/>
    <w:rsid w:val="00BC06D9"/>
    <w:rsid w:val="00BC48C0"/>
    <w:rsid w:val="00BC50E0"/>
    <w:rsid w:val="00BC573D"/>
    <w:rsid w:val="00BC5A14"/>
    <w:rsid w:val="00BC6481"/>
    <w:rsid w:val="00BC6B5A"/>
    <w:rsid w:val="00BC7106"/>
    <w:rsid w:val="00BC781B"/>
    <w:rsid w:val="00BC7D68"/>
    <w:rsid w:val="00BD013B"/>
    <w:rsid w:val="00BD1B4C"/>
    <w:rsid w:val="00BD2FBB"/>
    <w:rsid w:val="00BD323C"/>
    <w:rsid w:val="00BD4C26"/>
    <w:rsid w:val="00BD5771"/>
    <w:rsid w:val="00BD610B"/>
    <w:rsid w:val="00BD7A06"/>
    <w:rsid w:val="00BD7C9D"/>
    <w:rsid w:val="00BE105B"/>
    <w:rsid w:val="00BE2852"/>
    <w:rsid w:val="00BE2A83"/>
    <w:rsid w:val="00BE4BC8"/>
    <w:rsid w:val="00BE4D81"/>
    <w:rsid w:val="00BE57AE"/>
    <w:rsid w:val="00BE5C58"/>
    <w:rsid w:val="00BE710E"/>
    <w:rsid w:val="00BF082B"/>
    <w:rsid w:val="00BF08A2"/>
    <w:rsid w:val="00BF0BA7"/>
    <w:rsid w:val="00BF1437"/>
    <w:rsid w:val="00BF1A30"/>
    <w:rsid w:val="00BF241B"/>
    <w:rsid w:val="00BF25D3"/>
    <w:rsid w:val="00BF2B7C"/>
    <w:rsid w:val="00BF3196"/>
    <w:rsid w:val="00BF3BA4"/>
    <w:rsid w:val="00BF4689"/>
    <w:rsid w:val="00BF5647"/>
    <w:rsid w:val="00BF6B48"/>
    <w:rsid w:val="00BF728A"/>
    <w:rsid w:val="00C0059E"/>
    <w:rsid w:val="00C00F13"/>
    <w:rsid w:val="00C018F6"/>
    <w:rsid w:val="00C02529"/>
    <w:rsid w:val="00C025AB"/>
    <w:rsid w:val="00C028F2"/>
    <w:rsid w:val="00C04235"/>
    <w:rsid w:val="00C042B3"/>
    <w:rsid w:val="00C047DD"/>
    <w:rsid w:val="00C05952"/>
    <w:rsid w:val="00C05D4C"/>
    <w:rsid w:val="00C075FA"/>
    <w:rsid w:val="00C07772"/>
    <w:rsid w:val="00C11DEF"/>
    <w:rsid w:val="00C152CA"/>
    <w:rsid w:val="00C15FE1"/>
    <w:rsid w:val="00C20B8F"/>
    <w:rsid w:val="00C20B9A"/>
    <w:rsid w:val="00C216AF"/>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34B07"/>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2C2C"/>
    <w:rsid w:val="00C83DD4"/>
    <w:rsid w:val="00C847ED"/>
    <w:rsid w:val="00C85BFF"/>
    <w:rsid w:val="00C873A4"/>
    <w:rsid w:val="00C90EA9"/>
    <w:rsid w:val="00C914F4"/>
    <w:rsid w:val="00CA0D4F"/>
    <w:rsid w:val="00CA1224"/>
    <w:rsid w:val="00CA1397"/>
    <w:rsid w:val="00CA519E"/>
    <w:rsid w:val="00CA7DE4"/>
    <w:rsid w:val="00CB0C1A"/>
    <w:rsid w:val="00CB165F"/>
    <w:rsid w:val="00CB18A2"/>
    <w:rsid w:val="00CB2FE4"/>
    <w:rsid w:val="00CB3621"/>
    <w:rsid w:val="00CB4A68"/>
    <w:rsid w:val="00CB4C33"/>
    <w:rsid w:val="00CB67DC"/>
    <w:rsid w:val="00CC0C01"/>
    <w:rsid w:val="00CC0DDC"/>
    <w:rsid w:val="00CC1380"/>
    <w:rsid w:val="00CC4052"/>
    <w:rsid w:val="00CC47FF"/>
    <w:rsid w:val="00CC4B2C"/>
    <w:rsid w:val="00CC7D91"/>
    <w:rsid w:val="00CD0028"/>
    <w:rsid w:val="00CD08DD"/>
    <w:rsid w:val="00CD1A96"/>
    <w:rsid w:val="00CD2824"/>
    <w:rsid w:val="00CD2BB2"/>
    <w:rsid w:val="00CD338F"/>
    <w:rsid w:val="00CD6203"/>
    <w:rsid w:val="00CD7641"/>
    <w:rsid w:val="00CE05DB"/>
    <w:rsid w:val="00CE0777"/>
    <w:rsid w:val="00CE1474"/>
    <w:rsid w:val="00CE2393"/>
    <w:rsid w:val="00CE260C"/>
    <w:rsid w:val="00CE26D7"/>
    <w:rsid w:val="00CE2E2F"/>
    <w:rsid w:val="00CE36F1"/>
    <w:rsid w:val="00CE380B"/>
    <w:rsid w:val="00CE3FF2"/>
    <w:rsid w:val="00CE449D"/>
    <w:rsid w:val="00CE5260"/>
    <w:rsid w:val="00CE56AB"/>
    <w:rsid w:val="00CE6395"/>
    <w:rsid w:val="00CE6BE3"/>
    <w:rsid w:val="00CE7439"/>
    <w:rsid w:val="00CE7641"/>
    <w:rsid w:val="00CE77D7"/>
    <w:rsid w:val="00CF0D62"/>
    <w:rsid w:val="00CF0FFD"/>
    <w:rsid w:val="00CF4162"/>
    <w:rsid w:val="00CF4528"/>
    <w:rsid w:val="00CF59D2"/>
    <w:rsid w:val="00CF74B8"/>
    <w:rsid w:val="00CF7562"/>
    <w:rsid w:val="00D01374"/>
    <w:rsid w:val="00D02E0E"/>
    <w:rsid w:val="00D02E57"/>
    <w:rsid w:val="00D03028"/>
    <w:rsid w:val="00D030AA"/>
    <w:rsid w:val="00D05292"/>
    <w:rsid w:val="00D05363"/>
    <w:rsid w:val="00D05C99"/>
    <w:rsid w:val="00D07E6C"/>
    <w:rsid w:val="00D125AC"/>
    <w:rsid w:val="00D12F0D"/>
    <w:rsid w:val="00D12F91"/>
    <w:rsid w:val="00D13E2D"/>
    <w:rsid w:val="00D14607"/>
    <w:rsid w:val="00D14AAA"/>
    <w:rsid w:val="00D155DC"/>
    <w:rsid w:val="00D15C7E"/>
    <w:rsid w:val="00D1705D"/>
    <w:rsid w:val="00D17DBC"/>
    <w:rsid w:val="00D20013"/>
    <w:rsid w:val="00D20D5C"/>
    <w:rsid w:val="00D21EDC"/>
    <w:rsid w:val="00D23166"/>
    <w:rsid w:val="00D23502"/>
    <w:rsid w:val="00D237D5"/>
    <w:rsid w:val="00D242BD"/>
    <w:rsid w:val="00D2545E"/>
    <w:rsid w:val="00D256F9"/>
    <w:rsid w:val="00D2612D"/>
    <w:rsid w:val="00D263F3"/>
    <w:rsid w:val="00D26A93"/>
    <w:rsid w:val="00D2714E"/>
    <w:rsid w:val="00D3008B"/>
    <w:rsid w:val="00D3123C"/>
    <w:rsid w:val="00D336EC"/>
    <w:rsid w:val="00D3373B"/>
    <w:rsid w:val="00D34071"/>
    <w:rsid w:val="00D34AAF"/>
    <w:rsid w:val="00D3565A"/>
    <w:rsid w:val="00D36E59"/>
    <w:rsid w:val="00D36EBD"/>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78E"/>
    <w:rsid w:val="00D823BA"/>
    <w:rsid w:val="00D8377A"/>
    <w:rsid w:val="00D83D65"/>
    <w:rsid w:val="00D84ED5"/>
    <w:rsid w:val="00D85B18"/>
    <w:rsid w:val="00D85ED0"/>
    <w:rsid w:val="00D874D3"/>
    <w:rsid w:val="00D87815"/>
    <w:rsid w:val="00D900A0"/>
    <w:rsid w:val="00D93BE8"/>
    <w:rsid w:val="00D93D53"/>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0E3"/>
    <w:rsid w:val="00DB7338"/>
    <w:rsid w:val="00DB7D09"/>
    <w:rsid w:val="00DB7FF7"/>
    <w:rsid w:val="00DC161E"/>
    <w:rsid w:val="00DC3DCD"/>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358"/>
    <w:rsid w:val="00E1042E"/>
    <w:rsid w:val="00E106CC"/>
    <w:rsid w:val="00E10856"/>
    <w:rsid w:val="00E14889"/>
    <w:rsid w:val="00E14B57"/>
    <w:rsid w:val="00E1667F"/>
    <w:rsid w:val="00E16DBC"/>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40C89"/>
    <w:rsid w:val="00E41305"/>
    <w:rsid w:val="00E44314"/>
    <w:rsid w:val="00E4561D"/>
    <w:rsid w:val="00E46F0A"/>
    <w:rsid w:val="00E4796E"/>
    <w:rsid w:val="00E50892"/>
    <w:rsid w:val="00E5094F"/>
    <w:rsid w:val="00E52A27"/>
    <w:rsid w:val="00E52A65"/>
    <w:rsid w:val="00E52A78"/>
    <w:rsid w:val="00E54BAE"/>
    <w:rsid w:val="00E5576F"/>
    <w:rsid w:val="00E56B3D"/>
    <w:rsid w:val="00E56DA0"/>
    <w:rsid w:val="00E579D2"/>
    <w:rsid w:val="00E57BF2"/>
    <w:rsid w:val="00E60509"/>
    <w:rsid w:val="00E605AB"/>
    <w:rsid w:val="00E623C6"/>
    <w:rsid w:val="00E62731"/>
    <w:rsid w:val="00E6464A"/>
    <w:rsid w:val="00E67278"/>
    <w:rsid w:val="00E707C6"/>
    <w:rsid w:val="00E7083A"/>
    <w:rsid w:val="00E717EE"/>
    <w:rsid w:val="00E72A1E"/>
    <w:rsid w:val="00E7312C"/>
    <w:rsid w:val="00E737B5"/>
    <w:rsid w:val="00E74166"/>
    <w:rsid w:val="00E7530E"/>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4C17"/>
    <w:rsid w:val="00EB51E7"/>
    <w:rsid w:val="00EB5A34"/>
    <w:rsid w:val="00EB6771"/>
    <w:rsid w:val="00EB6CE4"/>
    <w:rsid w:val="00EB7113"/>
    <w:rsid w:val="00EB7564"/>
    <w:rsid w:val="00EC06BA"/>
    <w:rsid w:val="00EC0705"/>
    <w:rsid w:val="00EC1D05"/>
    <w:rsid w:val="00EC30D6"/>
    <w:rsid w:val="00EC4F74"/>
    <w:rsid w:val="00EC599B"/>
    <w:rsid w:val="00EC5C40"/>
    <w:rsid w:val="00EC69A8"/>
    <w:rsid w:val="00EC70F0"/>
    <w:rsid w:val="00EC7EB4"/>
    <w:rsid w:val="00ED0581"/>
    <w:rsid w:val="00ED0C20"/>
    <w:rsid w:val="00ED26AE"/>
    <w:rsid w:val="00ED2ACE"/>
    <w:rsid w:val="00ED4BDC"/>
    <w:rsid w:val="00ED4F72"/>
    <w:rsid w:val="00ED76E9"/>
    <w:rsid w:val="00ED7B0C"/>
    <w:rsid w:val="00EE0830"/>
    <w:rsid w:val="00EE121C"/>
    <w:rsid w:val="00EE30ED"/>
    <w:rsid w:val="00EE3525"/>
    <w:rsid w:val="00EE45E3"/>
    <w:rsid w:val="00EE552F"/>
    <w:rsid w:val="00EE6D10"/>
    <w:rsid w:val="00EE6E7F"/>
    <w:rsid w:val="00EE74F6"/>
    <w:rsid w:val="00EF2FF8"/>
    <w:rsid w:val="00EF3AE0"/>
    <w:rsid w:val="00EF3BB3"/>
    <w:rsid w:val="00EF4797"/>
    <w:rsid w:val="00EF4DCD"/>
    <w:rsid w:val="00EF5E1F"/>
    <w:rsid w:val="00EF62BF"/>
    <w:rsid w:val="00EF7A2E"/>
    <w:rsid w:val="00EF7D03"/>
    <w:rsid w:val="00F01310"/>
    <w:rsid w:val="00F01BA7"/>
    <w:rsid w:val="00F054DE"/>
    <w:rsid w:val="00F07115"/>
    <w:rsid w:val="00F0753E"/>
    <w:rsid w:val="00F103EF"/>
    <w:rsid w:val="00F10D8D"/>
    <w:rsid w:val="00F1195B"/>
    <w:rsid w:val="00F12AD1"/>
    <w:rsid w:val="00F12B9C"/>
    <w:rsid w:val="00F12F07"/>
    <w:rsid w:val="00F139F6"/>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45A1"/>
    <w:rsid w:val="00F57645"/>
    <w:rsid w:val="00F57E94"/>
    <w:rsid w:val="00F603C8"/>
    <w:rsid w:val="00F60474"/>
    <w:rsid w:val="00F6055A"/>
    <w:rsid w:val="00F61B71"/>
    <w:rsid w:val="00F640C3"/>
    <w:rsid w:val="00F66D50"/>
    <w:rsid w:val="00F674BA"/>
    <w:rsid w:val="00F72AA8"/>
    <w:rsid w:val="00F73DE7"/>
    <w:rsid w:val="00F746FF"/>
    <w:rsid w:val="00F74B61"/>
    <w:rsid w:val="00F75B11"/>
    <w:rsid w:val="00F75C6B"/>
    <w:rsid w:val="00F76701"/>
    <w:rsid w:val="00F77659"/>
    <w:rsid w:val="00F80854"/>
    <w:rsid w:val="00F8176E"/>
    <w:rsid w:val="00F8218F"/>
    <w:rsid w:val="00F82B22"/>
    <w:rsid w:val="00F82D97"/>
    <w:rsid w:val="00F82E5E"/>
    <w:rsid w:val="00F849D0"/>
    <w:rsid w:val="00F84EC6"/>
    <w:rsid w:val="00F8516C"/>
    <w:rsid w:val="00F85910"/>
    <w:rsid w:val="00F86007"/>
    <w:rsid w:val="00F867A3"/>
    <w:rsid w:val="00F874BA"/>
    <w:rsid w:val="00F90F9F"/>
    <w:rsid w:val="00F923DE"/>
    <w:rsid w:val="00F929DB"/>
    <w:rsid w:val="00F92D3B"/>
    <w:rsid w:val="00F93C91"/>
    <w:rsid w:val="00F9464B"/>
    <w:rsid w:val="00F95C5B"/>
    <w:rsid w:val="00F961E3"/>
    <w:rsid w:val="00F97788"/>
    <w:rsid w:val="00FA1036"/>
    <w:rsid w:val="00FA24EA"/>
    <w:rsid w:val="00FA28C3"/>
    <w:rsid w:val="00FA2C5B"/>
    <w:rsid w:val="00FA35F6"/>
    <w:rsid w:val="00FA3E01"/>
    <w:rsid w:val="00FA45B1"/>
    <w:rsid w:val="00FB1310"/>
    <w:rsid w:val="00FB1A96"/>
    <w:rsid w:val="00FB59C1"/>
    <w:rsid w:val="00FB635B"/>
    <w:rsid w:val="00FB7CBA"/>
    <w:rsid w:val="00FC03C1"/>
    <w:rsid w:val="00FC109E"/>
    <w:rsid w:val="00FC1AF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547B"/>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4642"/>
    <w:rsid w:val="00FF5408"/>
    <w:rsid w:val="00FF7CF2"/>
    <w:rsid w:val="01301A70"/>
    <w:rsid w:val="01535EBC"/>
    <w:rsid w:val="01A051A5"/>
    <w:rsid w:val="01AD6336"/>
    <w:rsid w:val="01AD73F5"/>
    <w:rsid w:val="01D80251"/>
    <w:rsid w:val="01E25B6A"/>
    <w:rsid w:val="01E8211B"/>
    <w:rsid w:val="01ED2F4F"/>
    <w:rsid w:val="021676AC"/>
    <w:rsid w:val="022005DB"/>
    <w:rsid w:val="027035A1"/>
    <w:rsid w:val="029A6F8B"/>
    <w:rsid w:val="02B61011"/>
    <w:rsid w:val="02B90B3B"/>
    <w:rsid w:val="0306789E"/>
    <w:rsid w:val="031E77DD"/>
    <w:rsid w:val="032F2A05"/>
    <w:rsid w:val="033D4C36"/>
    <w:rsid w:val="034C1F54"/>
    <w:rsid w:val="038627B8"/>
    <w:rsid w:val="03CF5743"/>
    <w:rsid w:val="04115339"/>
    <w:rsid w:val="04122769"/>
    <w:rsid w:val="041B3FB5"/>
    <w:rsid w:val="0441000A"/>
    <w:rsid w:val="04424A26"/>
    <w:rsid w:val="04686D89"/>
    <w:rsid w:val="048C4472"/>
    <w:rsid w:val="04BC240B"/>
    <w:rsid w:val="04BE3BD3"/>
    <w:rsid w:val="04E57349"/>
    <w:rsid w:val="05470692"/>
    <w:rsid w:val="058F5409"/>
    <w:rsid w:val="05A51DB9"/>
    <w:rsid w:val="05E2093F"/>
    <w:rsid w:val="060B7677"/>
    <w:rsid w:val="061A5313"/>
    <w:rsid w:val="061A69EE"/>
    <w:rsid w:val="06205C30"/>
    <w:rsid w:val="0641548F"/>
    <w:rsid w:val="06492AAF"/>
    <w:rsid w:val="0662438E"/>
    <w:rsid w:val="0671338F"/>
    <w:rsid w:val="06742E8C"/>
    <w:rsid w:val="0698417D"/>
    <w:rsid w:val="069D2949"/>
    <w:rsid w:val="06C3465F"/>
    <w:rsid w:val="06C40896"/>
    <w:rsid w:val="06CD6568"/>
    <w:rsid w:val="06D946F5"/>
    <w:rsid w:val="06FE7FDB"/>
    <w:rsid w:val="070754CD"/>
    <w:rsid w:val="072E7F81"/>
    <w:rsid w:val="0734625B"/>
    <w:rsid w:val="07351825"/>
    <w:rsid w:val="075718F5"/>
    <w:rsid w:val="0765076B"/>
    <w:rsid w:val="07975E0D"/>
    <w:rsid w:val="079F5A0C"/>
    <w:rsid w:val="07E816BD"/>
    <w:rsid w:val="07FA29C5"/>
    <w:rsid w:val="0806057A"/>
    <w:rsid w:val="08436BCC"/>
    <w:rsid w:val="08440B9C"/>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A32CE"/>
    <w:rsid w:val="09DD5F7E"/>
    <w:rsid w:val="0A104CFE"/>
    <w:rsid w:val="0A7E1A4E"/>
    <w:rsid w:val="0A840181"/>
    <w:rsid w:val="0AA21D8B"/>
    <w:rsid w:val="0AA76BBF"/>
    <w:rsid w:val="0ABA3196"/>
    <w:rsid w:val="0ABD67A5"/>
    <w:rsid w:val="0AC74C67"/>
    <w:rsid w:val="0AEC4C33"/>
    <w:rsid w:val="0AF81F7D"/>
    <w:rsid w:val="0AF9651E"/>
    <w:rsid w:val="0B035D76"/>
    <w:rsid w:val="0B0D72DF"/>
    <w:rsid w:val="0B17610C"/>
    <w:rsid w:val="0B532916"/>
    <w:rsid w:val="0B7B0C0B"/>
    <w:rsid w:val="0BA71F9F"/>
    <w:rsid w:val="0BC24B89"/>
    <w:rsid w:val="0BD3693F"/>
    <w:rsid w:val="0BE5158C"/>
    <w:rsid w:val="0BF608EB"/>
    <w:rsid w:val="0C100BB4"/>
    <w:rsid w:val="0C4C2DFE"/>
    <w:rsid w:val="0CAE4813"/>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0FE63DE5"/>
    <w:rsid w:val="100573B4"/>
    <w:rsid w:val="10126907"/>
    <w:rsid w:val="108607D6"/>
    <w:rsid w:val="10893B71"/>
    <w:rsid w:val="10BE71C3"/>
    <w:rsid w:val="10F61CD8"/>
    <w:rsid w:val="10FB4A31"/>
    <w:rsid w:val="11133F83"/>
    <w:rsid w:val="11331EFF"/>
    <w:rsid w:val="11337EFB"/>
    <w:rsid w:val="115713ED"/>
    <w:rsid w:val="11600A16"/>
    <w:rsid w:val="11707147"/>
    <w:rsid w:val="11761878"/>
    <w:rsid w:val="118A635C"/>
    <w:rsid w:val="11B63EA0"/>
    <w:rsid w:val="11D34FC9"/>
    <w:rsid w:val="11F5274F"/>
    <w:rsid w:val="124203BC"/>
    <w:rsid w:val="12456039"/>
    <w:rsid w:val="12587033"/>
    <w:rsid w:val="12606FE4"/>
    <w:rsid w:val="126C5962"/>
    <w:rsid w:val="1297438E"/>
    <w:rsid w:val="12C71040"/>
    <w:rsid w:val="12D3487B"/>
    <w:rsid w:val="12DC2E09"/>
    <w:rsid w:val="12F533CD"/>
    <w:rsid w:val="12F66907"/>
    <w:rsid w:val="13095F67"/>
    <w:rsid w:val="130A6356"/>
    <w:rsid w:val="132066F4"/>
    <w:rsid w:val="134637F3"/>
    <w:rsid w:val="13525BEE"/>
    <w:rsid w:val="1360576D"/>
    <w:rsid w:val="137463DF"/>
    <w:rsid w:val="13782BD2"/>
    <w:rsid w:val="13A83579"/>
    <w:rsid w:val="13AD0A54"/>
    <w:rsid w:val="13BD2FCB"/>
    <w:rsid w:val="13CA4309"/>
    <w:rsid w:val="13D45D4F"/>
    <w:rsid w:val="13D5619C"/>
    <w:rsid w:val="13DA2A9A"/>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81382"/>
    <w:rsid w:val="166E3243"/>
    <w:rsid w:val="168B794A"/>
    <w:rsid w:val="1690726E"/>
    <w:rsid w:val="16A16910"/>
    <w:rsid w:val="16B35A36"/>
    <w:rsid w:val="16D1158E"/>
    <w:rsid w:val="16E907D7"/>
    <w:rsid w:val="16EE0B6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2C5676"/>
    <w:rsid w:val="19370A73"/>
    <w:rsid w:val="19A73280"/>
    <w:rsid w:val="19AC6797"/>
    <w:rsid w:val="19B34E87"/>
    <w:rsid w:val="19FE3D52"/>
    <w:rsid w:val="1A182E22"/>
    <w:rsid w:val="1A2338EA"/>
    <w:rsid w:val="1A680331"/>
    <w:rsid w:val="1A7C2890"/>
    <w:rsid w:val="1AA846CB"/>
    <w:rsid w:val="1AA8733D"/>
    <w:rsid w:val="1B0051DB"/>
    <w:rsid w:val="1B1D327A"/>
    <w:rsid w:val="1B324FB0"/>
    <w:rsid w:val="1B364A0E"/>
    <w:rsid w:val="1B510657"/>
    <w:rsid w:val="1B5653C7"/>
    <w:rsid w:val="1B6E1F3C"/>
    <w:rsid w:val="1B807109"/>
    <w:rsid w:val="1B966D58"/>
    <w:rsid w:val="1B975ED5"/>
    <w:rsid w:val="1BAF2B27"/>
    <w:rsid w:val="1C00639E"/>
    <w:rsid w:val="1C0A6142"/>
    <w:rsid w:val="1C494918"/>
    <w:rsid w:val="1C594598"/>
    <w:rsid w:val="1C6D2148"/>
    <w:rsid w:val="1C7976A4"/>
    <w:rsid w:val="1C8735BD"/>
    <w:rsid w:val="1C8A1334"/>
    <w:rsid w:val="1CCC588C"/>
    <w:rsid w:val="1D0B0A16"/>
    <w:rsid w:val="1D2C64D1"/>
    <w:rsid w:val="1D3212A4"/>
    <w:rsid w:val="1D4B08BC"/>
    <w:rsid w:val="1D650CC3"/>
    <w:rsid w:val="1DF36F10"/>
    <w:rsid w:val="1E195ED0"/>
    <w:rsid w:val="1E1A3914"/>
    <w:rsid w:val="1E5B735D"/>
    <w:rsid w:val="1E971CDD"/>
    <w:rsid w:val="1EBE11B1"/>
    <w:rsid w:val="1EC63D7C"/>
    <w:rsid w:val="1EE13120"/>
    <w:rsid w:val="1EEC1248"/>
    <w:rsid w:val="1EF03D62"/>
    <w:rsid w:val="1EF24A99"/>
    <w:rsid w:val="1F145E2D"/>
    <w:rsid w:val="1F4D61EB"/>
    <w:rsid w:val="1F6606D7"/>
    <w:rsid w:val="1F9A6A11"/>
    <w:rsid w:val="1FD41E96"/>
    <w:rsid w:val="1FFC1DC4"/>
    <w:rsid w:val="207E6C00"/>
    <w:rsid w:val="20831983"/>
    <w:rsid w:val="20A0176D"/>
    <w:rsid w:val="20B2740F"/>
    <w:rsid w:val="20B90F12"/>
    <w:rsid w:val="21396CB8"/>
    <w:rsid w:val="21AA7CA6"/>
    <w:rsid w:val="21AB708E"/>
    <w:rsid w:val="21DD7198"/>
    <w:rsid w:val="21FF2B6B"/>
    <w:rsid w:val="228A73C5"/>
    <w:rsid w:val="22992535"/>
    <w:rsid w:val="22B15D07"/>
    <w:rsid w:val="22B31BD7"/>
    <w:rsid w:val="22CB67CE"/>
    <w:rsid w:val="22DF7DFC"/>
    <w:rsid w:val="22E40D2F"/>
    <w:rsid w:val="22F86538"/>
    <w:rsid w:val="23121934"/>
    <w:rsid w:val="231F7FF3"/>
    <w:rsid w:val="2328206A"/>
    <w:rsid w:val="232A5AF9"/>
    <w:rsid w:val="238555C9"/>
    <w:rsid w:val="23A32375"/>
    <w:rsid w:val="23AF5EEC"/>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71362A"/>
    <w:rsid w:val="26AF4890"/>
    <w:rsid w:val="26C679EB"/>
    <w:rsid w:val="26CD62DD"/>
    <w:rsid w:val="26EB3598"/>
    <w:rsid w:val="271B442E"/>
    <w:rsid w:val="27240F9C"/>
    <w:rsid w:val="272B664F"/>
    <w:rsid w:val="272D09AF"/>
    <w:rsid w:val="273B1152"/>
    <w:rsid w:val="27862223"/>
    <w:rsid w:val="279327F5"/>
    <w:rsid w:val="27A31EDE"/>
    <w:rsid w:val="27B0064C"/>
    <w:rsid w:val="27B91633"/>
    <w:rsid w:val="27BE4B44"/>
    <w:rsid w:val="27D0173F"/>
    <w:rsid w:val="27DD18F1"/>
    <w:rsid w:val="27E15FD7"/>
    <w:rsid w:val="28163B2C"/>
    <w:rsid w:val="281B2B80"/>
    <w:rsid w:val="28227A69"/>
    <w:rsid w:val="28331906"/>
    <w:rsid w:val="28866BB6"/>
    <w:rsid w:val="289A605E"/>
    <w:rsid w:val="28DC66D6"/>
    <w:rsid w:val="28E6016C"/>
    <w:rsid w:val="28E61363"/>
    <w:rsid w:val="28ED5120"/>
    <w:rsid w:val="28F339CA"/>
    <w:rsid w:val="28F81A01"/>
    <w:rsid w:val="293C4340"/>
    <w:rsid w:val="29630D60"/>
    <w:rsid w:val="299261A8"/>
    <w:rsid w:val="29976826"/>
    <w:rsid w:val="29D61E00"/>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25499C"/>
    <w:rsid w:val="2C743CF5"/>
    <w:rsid w:val="2C897AD5"/>
    <w:rsid w:val="2CA21713"/>
    <w:rsid w:val="2CBD4227"/>
    <w:rsid w:val="2CFC2C0B"/>
    <w:rsid w:val="2D0342FF"/>
    <w:rsid w:val="2D1F1FF1"/>
    <w:rsid w:val="2D266524"/>
    <w:rsid w:val="2D2C75CF"/>
    <w:rsid w:val="2D4C2D0F"/>
    <w:rsid w:val="2D8C25BE"/>
    <w:rsid w:val="2DBB66F9"/>
    <w:rsid w:val="2DCE3C4D"/>
    <w:rsid w:val="2DD90901"/>
    <w:rsid w:val="2E3753F5"/>
    <w:rsid w:val="2E3F6FF1"/>
    <w:rsid w:val="2E4E27CA"/>
    <w:rsid w:val="2E5D0DE4"/>
    <w:rsid w:val="2E642F68"/>
    <w:rsid w:val="2E8A46D7"/>
    <w:rsid w:val="2EB71E65"/>
    <w:rsid w:val="2EBA6468"/>
    <w:rsid w:val="2ED647A7"/>
    <w:rsid w:val="2ED6546B"/>
    <w:rsid w:val="2ED96FE6"/>
    <w:rsid w:val="2EE96EDE"/>
    <w:rsid w:val="2EFD6C01"/>
    <w:rsid w:val="2F1E329D"/>
    <w:rsid w:val="2F2257C8"/>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732B0D"/>
    <w:rsid w:val="3186794B"/>
    <w:rsid w:val="318F0C07"/>
    <w:rsid w:val="31E871BF"/>
    <w:rsid w:val="31EC42D3"/>
    <w:rsid w:val="31F01E96"/>
    <w:rsid w:val="32005EA3"/>
    <w:rsid w:val="320870E0"/>
    <w:rsid w:val="3210025C"/>
    <w:rsid w:val="321466A7"/>
    <w:rsid w:val="32352F48"/>
    <w:rsid w:val="3246521D"/>
    <w:rsid w:val="3297664C"/>
    <w:rsid w:val="32994503"/>
    <w:rsid w:val="32B86216"/>
    <w:rsid w:val="32BF1CD9"/>
    <w:rsid w:val="32C77D1B"/>
    <w:rsid w:val="32D6021D"/>
    <w:rsid w:val="33456D0A"/>
    <w:rsid w:val="334B2D3B"/>
    <w:rsid w:val="334C77CF"/>
    <w:rsid w:val="33563FC4"/>
    <w:rsid w:val="335E5AD0"/>
    <w:rsid w:val="33676308"/>
    <w:rsid w:val="33C375AD"/>
    <w:rsid w:val="33ED4BAD"/>
    <w:rsid w:val="33F87571"/>
    <w:rsid w:val="341343BF"/>
    <w:rsid w:val="34460C91"/>
    <w:rsid w:val="344F318A"/>
    <w:rsid w:val="345676E2"/>
    <w:rsid w:val="345C691A"/>
    <w:rsid w:val="345D2E42"/>
    <w:rsid w:val="345E214B"/>
    <w:rsid w:val="34A33D2C"/>
    <w:rsid w:val="34A50961"/>
    <w:rsid w:val="34AD087C"/>
    <w:rsid w:val="34BD1D33"/>
    <w:rsid w:val="34CD2EB2"/>
    <w:rsid w:val="34FE33DD"/>
    <w:rsid w:val="35293D5E"/>
    <w:rsid w:val="354766F7"/>
    <w:rsid w:val="358E388E"/>
    <w:rsid w:val="35990549"/>
    <w:rsid w:val="35A220ED"/>
    <w:rsid w:val="35B867E4"/>
    <w:rsid w:val="35BF24A4"/>
    <w:rsid w:val="35CF27F0"/>
    <w:rsid w:val="35D00846"/>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682C32"/>
    <w:rsid w:val="3971511E"/>
    <w:rsid w:val="397C2D3D"/>
    <w:rsid w:val="39AF4AF7"/>
    <w:rsid w:val="39B85181"/>
    <w:rsid w:val="39B868F5"/>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0F7935"/>
    <w:rsid w:val="3C2A6487"/>
    <w:rsid w:val="3C355230"/>
    <w:rsid w:val="3C5735CB"/>
    <w:rsid w:val="3C8A3F43"/>
    <w:rsid w:val="3C9733E7"/>
    <w:rsid w:val="3CFE08DB"/>
    <w:rsid w:val="3D6056F8"/>
    <w:rsid w:val="3D673F80"/>
    <w:rsid w:val="3D690B94"/>
    <w:rsid w:val="3D75064E"/>
    <w:rsid w:val="3D7A7192"/>
    <w:rsid w:val="3DB138D5"/>
    <w:rsid w:val="3DB40E70"/>
    <w:rsid w:val="3E00044F"/>
    <w:rsid w:val="3E0461E8"/>
    <w:rsid w:val="3E2D7D8E"/>
    <w:rsid w:val="3E2E0A25"/>
    <w:rsid w:val="3E3B24BF"/>
    <w:rsid w:val="3E64265A"/>
    <w:rsid w:val="3E6C3FAF"/>
    <w:rsid w:val="3E8E0FDF"/>
    <w:rsid w:val="3E93172F"/>
    <w:rsid w:val="3EA51E2C"/>
    <w:rsid w:val="3EA56C61"/>
    <w:rsid w:val="3EAC040D"/>
    <w:rsid w:val="3EE50717"/>
    <w:rsid w:val="3EF34B07"/>
    <w:rsid w:val="3F1617B9"/>
    <w:rsid w:val="3F72094D"/>
    <w:rsid w:val="3F897CE4"/>
    <w:rsid w:val="3F9E5916"/>
    <w:rsid w:val="3FAD777A"/>
    <w:rsid w:val="3FC52740"/>
    <w:rsid w:val="3FD1085F"/>
    <w:rsid w:val="3FDA4409"/>
    <w:rsid w:val="3FF13A3F"/>
    <w:rsid w:val="40117EB2"/>
    <w:rsid w:val="401A03CE"/>
    <w:rsid w:val="402C78B4"/>
    <w:rsid w:val="406075D2"/>
    <w:rsid w:val="406D1780"/>
    <w:rsid w:val="409A1B98"/>
    <w:rsid w:val="40CD6B92"/>
    <w:rsid w:val="411B4824"/>
    <w:rsid w:val="413D5C6F"/>
    <w:rsid w:val="413D73C6"/>
    <w:rsid w:val="413E169D"/>
    <w:rsid w:val="4148471A"/>
    <w:rsid w:val="4181493C"/>
    <w:rsid w:val="41A22AC3"/>
    <w:rsid w:val="41B95C49"/>
    <w:rsid w:val="41CE2D42"/>
    <w:rsid w:val="41DE0C28"/>
    <w:rsid w:val="42037165"/>
    <w:rsid w:val="42120A50"/>
    <w:rsid w:val="421F793F"/>
    <w:rsid w:val="42440B9D"/>
    <w:rsid w:val="424625C8"/>
    <w:rsid w:val="426974B2"/>
    <w:rsid w:val="428C0159"/>
    <w:rsid w:val="42950901"/>
    <w:rsid w:val="42B64A6B"/>
    <w:rsid w:val="42C579CC"/>
    <w:rsid w:val="42C62A86"/>
    <w:rsid w:val="42CD5499"/>
    <w:rsid w:val="42EA60E9"/>
    <w:rsid w:val="43120629"/>
    <w:rsid w:val="432E5A1B"/>
    <w:rsid w:val="434314FE"/>
    <w:rsid w:val="435201BE"/>
    <w:rsid w:val="43531710"/>
    <w:rsid w:val="435A4029"/>
    <w:rsid w:val="435C52D6"/>
    <w:rsid w:val="43645516"/>
    <w:rsid w:val="437A2C86"/>
    <w:rsid w:val="439C25AD"/>
    <w:rsid w:val="440561C1"/>
    <w:rsid w:val="44241DDE"/>
    <w:rsid w:val="44276889"/>
    <w:rsid w:val="442D34EA"/>
    <w:rsid w:val="44364115"/>
    <w:rsid w:val="44530233"/>
    <w:rsid w:val="44E1632C"/>
    <w:rsid w:val="44EB2CD0"/>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7B2AC2"/>
    <w:rsid w:val="47A706EE"/>
    <w:rsid w:val="47DA195B"/>
    <w:rsid w:val="47E215E0"/>
    <w:rsid w:val="47FC20D0"/>
    <w:rsid w:val="488241AC"/>
    <w:rsid w:val="488A01D5"/>
    <w:rsid w:val="488E67E9"/>
    <w:rsid w:val="489A5AD0"/>
    <w:rsid w:val="489C2E96"/>
    <w:rsid w:val="48BC0178"/>
    <w:rsid w:val="48E2348D"/>
    <w:rsid w:val="490772B6"/>
    <w:rsid w:val="490B58A7"/>
    <w:rsid w:val="491A0CE2"/>
    <w:rsid w:val="492A3B5A"/>
    <w:rsid w:val="493C077D"/>
    <w:rsid w:val="49490F6C"/>
    <w:rsid w:val="49587306"/>
    <w:rsid w:val="495D7927"/>
    <w:rsid w:val="49A9444F"/>
    <w:rsid w:val="49C01F46"/>
    <w:rsid w:val="49EE28F9"/>
    <w:rsid w:val="4A1242B7"/>
    <w:rsid w:val="4A20103D"/>
    <w:rsid w:val="4A2631E4"/>
    <w:rsid w:val="4A9061CF"/>
    <w:rsid w:val="4A955F53"/>
    <w:rsid w:val="4AE3614E"/>
    <w:rsid w:val="4B024453"/>
    <w:rsid w:val="4B144D40"/>
    <w:rsid w:val="4B1675EE"/>
    <w:rsid w:val="4B230331"/>
    <w:rsid w:val="4B4107D0"/>
    <w:rsid w:val="4B805A5F"/>
    <w:rsid w:val="4B88470B"/>
    <w:rsid w:val="4BBB565D"/>
    <w:rsid w:val="4BC12236"/>
    <w:rsid w:val="4BC3031A"/>
    <w:rsid w:val="4BDF052A"/>
    <w:rsid w:val="4BE95CE7"/>
    <w:rsid w:val="4BFD2C74"/>
    <w:rsid w:val="4C234937"/>
    <w:rsid w:val="4C272014"/>
    <w:rsid w:val="4C2B36E5"/>
    <w:rsid w:val="4C7C549B"/>
    <w:rsid w:val="4C93285C"/>
    <w:rsid w:val="4C96716E"/>
    <w:rsid w:val="4C9E0B90"/>
    <w:rsid w:val="4CC565C0"/>
    <w:rsid w:val="4D4402F2"/>
    <w:rsid w:val="4D4B1B5E"/>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EEC2CA7"/>
    <w:rsid w:val="4F002168"/>
    <w:rsid w:val="4F3E18B2"/>
    <w:rsid w:val="4F957CB1"/>
    <w:rsid w:val="4FB17A29"/>
    <w:rsid w:val="4FEA56E6"/>
    <w:rsid w:val="503150E3"/>
    <w:rsid w:val="506D0866"/>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4A6D11"/>
    <w:rsid w:val="528A68F5"/>
    <w:rsid w:val="529B6F98"/>
    <w:rsid w:val="529D2F01"/>
    <w:rsid w:val="52A66C49"/>
    <w:rsid w:val="52B63145"/>
    <w:rsid w:val="52BB1F28"/>
    <w:rsid w:val="52E71FB4"/>
    <w:rsid w:val="53AE5964"/>
    <w:rsid w:val="53B352C1"/>
    <w:rsid w:val="53B54782"/>
    <w:rsid w:val="53D63EF6"/>
    <w:rsid w:val="54377B30"/>
    <w:rsid w:val="54494545"/>
    <w:rsid w:val="547B4879"/>
    <w:rsid w:val="547E46E1"/>
    <w:rsid w:val="54AA0A30"/>
    <w:rsid w:val="54B00903"/>
    <w:rsid w:val="54CB7EA9"/>
    <w:rsid w:val="54CE6C9B"/>
    <w:rsid w:val="54DE3031"/>
    <w:rsid w:val="55696361"/>
    <w:rsid w:val="55703232"/>
    <w:rsid w:val="55780F05"/>
    <w:rsid w:val="558D62F1"/>
    <w:rsid w:val="559270E0"/>
    <w:rsid w:val="55B0352D"/>
    <w:rsid w:val="55EB77C0"/>
    <w:rsid w:val="562F0357"/>
    <w:rsid w:val="564F69B6"/>
    <w:rsid w:val="565054D2"/>
    <w:rsid w:val="566E1BF3"/>
    <w:rsid w:val="56811298"/>
    <w:rsid w:val="569F775B"/>
    <w:rsid w:val="571D05A3"/>
    <w:rsid w:val="572013B4"/>
    <w:rsid w:val="57303A7C"/>
    <w:rsid w:val="57481A8E"/>
    <w:rsid w:val="57841A3E"/>
    <w:rsid w:val="57875336"/>
    <w:rsid w:val="57900D67"/>
    <w:rsid w:val="57B01E54"/>
    <w:rsid w:val="57BD74D7"/>
    <w:rsid w:val="57C9376B"/>
    <w:rsid w:val="58100BB7"/>
    <w:rsid w:val="58337254"/>
    <w:rsid w:val="58836EBC"/>
    <w:rsid w:val="58B1460B"/>
    <w:rsid w:val="58D63927"/>
    <w:rsid w:val="58E00C77"/>
    <w:rsid w:val="58F0210A"/>
    <w:rsid w:val="593271A6"/>
    <w:rsid w:val="59526204"/>
    <w:rsid w:val="59687C13"/>
    <w:rsid w:val="59AD0C40"/>
    <w:rsid w:val="59AD1538"/>
    <w:rsid w:val="59AE2D44"/>
    <w:rsid w:val="59B6159D"/>
    <w:rsid w:val="59C23FD3"/>
    <w:rsid w:val="5A0B5E95"/>
    <w:rsid w:val="5A246F57"/>
    <w:rsid w:val="5A25455F"/>
    <w:rsid w:val="5A377F44"/>
    <w:rsid w:val="5A4A1367"/>
    <w:rsid w:val="5A742D4C"/>
    <w:rsid w:val="5AC67A75"/>
    <w:rsid w:val="5ACA6272"/>
    <w:rsid w:val="5AE92126"/>
    <w:rsid w:val="5AF00B1A"/>
    <w:rsid w:val="5AF95A23"/>
    <w:rsid w:val="5B094921"/>
    <w:rsid w:val="5B1E2703"/>
    <w:rsid w:val="5B4E0B38"/>
    <w:rsid w:val="5B5E75EC"/>
    <w:rsid w:val="5B640784"/>
    <w:rsid w:val="5B9613B7"/>
    <w:rsid w:val="5BCB44AB"/>
    <w:rsid w:val="5BD90A33"/>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06C99"/>
    <w:rsid w:val="5CEA0ADF"/>
    <w:rsid w:val="5CF07939"/>
    <w:rsid w:val="5D1B5076"/>
    <w:rsid w:val="5D1F0F34"/>
    <w:rsid w:val="5D2802F3"/>
    <w:rsid w:val="5D5478E7"/>
    <w:rsid w:val="5D80343C"/>
    <w:rsid w:val="5D850726"/>
    <w:rsid w:val="5DA25457"/>
    <w:rsid w:val="5DDC3B1D"/>
    <w:rsid w:val="5DDE5F76"/>
    <w:rsid w:val="5E022EA9"/>
    <w:rsid w:val="5E0A4220"/>
    <w:rsid w:val="5E164D40"/>
    <w:rsid w:val="5E183330"/>
    <w:rsid w:val="5E7A5E3C"/>
    <w:rsid w:val="5E817AAC"/>
    <w:rsid w:val="5E963F99"/>
    <w:rsid w:val="5EA1196F"/>
    <w:rsid w:val="5EB15CEC"/>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197F77"/>
    <w:rsid w:val="613A17BA"/>
    <w:rsid w:val="61577614"/>
    <w:rsid w:val="616E1BA4"/>
    <w:rsid w:val="617F1A46"/>
    <w:rsid w:val="6197365F"/>
    <w:rsid w:val="61C4141C"/>
    <w:rsid w:val="620F2C00"/>
    <w:rsid w:val="62184B39"/>
    <w:rsid w:val="622007D5"/>
    <w:rsid w:val="626D1426"/>
    <w:rsid w:val="629B121C"/>
    <w:rsid w:val="62C74C67"/>
    <w:rsid w:val="6315261B"/>
    <w:rsid w:val="63272BF8"/>
    <w:rsid w:val="633174D4"/>
    <w:rsid w:val="637558D0"/>
    <w:rsid w:val="637B5306"/>
    <w:rsid w:val="63851CFD"/>
    <w:rsid w:val="63923636"/>
    <w:rsid w:val="63B12810"/>
    <w:rsid w:val="63C21113"/>
    <w:rsid w:val="63D85715"/>
    <w:rsid w:val="63FE0FD3"/>
    <w:rsid w:val="641E1035"/>
    <w:rsid w:val="643D7B82"/>
    <w:rsid w:val="644D11F1"/>
    <w:rsid w:val="64806028"/>
    <w:rsid w:val="64815B74"/>
    <w:rsid w:val="64CF2277"/>
    <w:rsid w:val="64EE0961"/>
    <w:rsid w:val="64F73439"/>
    <w:rsid w:val="64FE6B6F"/>
    <w:rsid w:val="650802E3"/>
    <w:rsid w:val="650B252D"/>
    <w:rsid w:val="651B175A"/>
    <w:rsid w:val="6530763D"/>
    <w:rsid w:val="6531024B"/>
    <w:rsid w:val="65506B03"/>
    <w:rsid w:val="655A1172"/>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6F19B8"/>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242A8"/>
    <w:rsid w:val="69BE0326"/>
    <w:rsid w:val="69C15A14"/>
    <w:rsid w:val="69C30268"/>
    <w:rsid w:val="69CB2A62"/>
    <w:rsid w:val="69CC2B0F"/>
    <w:rsid w:val="69D82D07"/>
    <w:rsid w:val="6A07511F"/>
    <w:rsid w:val="6A1B50A9"/>
    <w:rsid w:val="6A8848D8"/>
    <w:rsid w:val="6A8C5F4E"/>
    <w:rsid w:val="6A9D190B"/>
    <w:rsid w:val="6AC10B58"/>
    <w:rsid w:val="6AC41799"/>
    <w:rsid w:val="6AC77BD5"/>
    <w:rsid w:val="6B2B1180"/>
    <w:rsid w:val="6B446222"/>
    <w:rsid w:val="6B825D8A"/>
    <w:rsid w:val="6B8954B5"/>
    <w:rsid w:val="6BAE42B9"/>
    <w:rsid w:val="6BBD214F"/>
    <w:rsid w:val="6BDA7BBE"/>
    <w:rsid w:val="6BDF5F4E"/>
    <w:rsid w:val="6BED58AF"/>
    <w:rsid w:val="6BFF0081"/>
    <w:rsid w:val="6C174DD6"/>
    <w:rsid w:val="6C3E424F"/>
    <w:rsid w:val="6C4D2360"/>
    <w:rsid w:val="6C50014D"/>
    <w:rsid w:val="6C551DED"/>
    <w:rsid w:val="6C597288"/>
    <w:rsid w:val="6C612D7E"/>
    <w:rsid w:val="6C7102D6"/>
    <w:rsid w:val="6C85002C"/>
    <w:rsid w:val="6C89278A"/>
    <w:rsid w:val="6C9735B4"/>
    <w:rsid w:val="6C9D1BCF"/>
    <w:rsid w:val="6CA711B8"/>
    <w:rsid w:val="6CC01C2A"/>
    <w:rsid w:val="6CC170A1"/>
    <w:rsid w:val="6CD917D9"/>
    <w:rsid w:val="6D125C14"/>
    <w:rsid w:val="6D15265D"/>
    <w:rsid w:val="6D2F50C1"/>
    <w:rsid w:val="6D3470DE"/>
    <w:rsid w:val="6D4275F9"/>
    <w:rsid w:val="6D4D3E7E"/>
    <w:rsid w:val="6D5956B9"/>
    <w:rsid w:val="6D914092"/>
    <w:rsid w:val="6D9B3A9B"/>
    <w:rsid w:val="6E216952"/>
    <w:rsid w:val="6E64393C"/>
    <w:rsid w:val="6E9C4D19"/>
    <w:rsid w:val="6EC1201F"/>
    <w:rsid w:val="6EC13E48"/>
    <w:rsid w:val="6EDC23DD"/>
    <w:rsid w:val="6EF12B6B"/>
    <w:rsid w:val="6EF851C4"/>
    <w:rsid w:val="6F0552E2"/>
    <w:rsid w:val="6F0F18E5"/>
    <w:rsid w:val="6F165DBC"/>
    <w:rsid w:val="6F364B5F"/>
    <w:rsid w:val="6F3E4050"/>
    <w:rsid w:val="6F5B5650"/>
    <w:rsid w:val="6F660F70"/>
    <w:rsid w:val="6F705E07"/>
    <w:rsid w:val="6F77480E"/>
    <w:rsid w:val="6F7875C8"/>
    <w:rsid w:val="6F92795A"/>
    <w:rsid w:val="6FA37BFA"/>
    <w:rsid w:val="6FC619CA"/>
    <w:rsid w:val="7047247E"/>
    <w:rsid w:val="70490B05"/>
    <w:rsid w:val="705052FB"/>
    <w:rsid w:val="70623BFE"/>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F6333E"/>
    <w:rsid w:val="743301F6"/>
    <w:rsid w:val="74527DA5"/>
    <w:rsid w:val="745A7BB8"/>
    <w:rsid w:val="746077A9"/>
    <w:rsid w:val="748847CC"/>
    <w:rsid w:val="74B007FD"/>
    <w:rsid w:val="74B65E55"/>
    <w:rsid w:val="74B843B3"/>
    <w:rsid w:val="74CF2E35"/>
    <w:rsid w:val="74DA7702"/>
    <w:rsid w:val="74F379BB"/>
    <w:rsid w:val="75127471"/>
    <w:rsid w:val="75130698"/>
    <w:rsid w:val="751471B8"/>
    <w:rsid w:val="757C4FC0"/>
    <w:rsid w:val="75830833"/>
    <w:rsid w:val="75CC611E"/>
    <w:rsid w:val="75FA352D"/>
    <w:rsid w:val="76027FF4"/>
    <w:rsid w:val="7614349B"/>
    <w:rsid w:val="761502EB"/>
    <w:rsid w:val="761E064F"/>
    <w:rsid w:val="763E3EC6"/>
    <w:rsid w:val="7663600F"/>
    <w:rsid w:val="7673027C"/>
    <w:rsid w:val="767D2049"/>
    <w:rsid w:val="768207A5"/>
    <w:rsid w:val="76A2179B"/>
    <w:rsid w:val="76A553DC"/>
    <w:rsid w:val="76D51348"/>
    <w:rsid w:val="76D66050"/>
    <w:rsid w:val="76F004B5"/>
    <w:rsid w:val="770352EE"/>
    <w:rsid w:val="773778A3"/>
    <w:rsid w:val="77565832"/>
    <w:rsid w:val="776E4150"/>
    <w:rsid w:val="7780037D"/>
    <w:rsid w:val="77890BDB"/>
    <w:rsid w:val="7793733B"/>
    <w:rsid w:val="77BA414F"/>
    <w:rsid w:val="77D3660D"/>
    <w:rsid w:val="78053056"/>
    <w:rsid w:val="785437D3"/>
    <w:rsid w:val="78565AAF"/>
    <w:rsid w:val="78B91318"/>
    <w:rsid w:val="78BE7CBA"/>
    <w:rsid w:val="78C10517"/>
    <w:rsid w:val="78C71CD3"/>
    <w:rsid w:val="78DD3131"/>
    <w:rsid w:val="78E22C82"/>
    <w:rsid w:val="78E4026D"/>
    <w:rsid w:val="79427878"/>
    <w:rsid w:val="79430348"/>
    <w:rsid w:val="796563A2"/>
    <w:rsid w:val="79701A39"/>
    <w:rsid w:val="799975C1"/>
    <w:rsid w:val="79B810F6"/>
    <w:rsid w:val="7A082988"/>
    <w:rsid w:val="7A1C10FB"/>
    <w:rsid w:val="7A286937"/>
    <w:rsid w:val="7A33250D"/>
    <w:rsid w:val="7A424D7F"/>
    <w:rsid w:val="7A4D4FC3"/>
    <w:rsid w:val="7A8A4F36"/>
    <w:rsid w:val="7A8C1ABB"/>
    <w:rsid w:val="7AA554F1"/>
    <w:rsid w:val="7AB87EDD"/>
    <w:rsid w:val="7ABA7BB0"/>
    <w:rsid w:val="7ABB0624"/>
    <w:rsid w:val="7ABE78CA"/>
    <w:rsid w:val="7AC84DC1"/>
    <w:rsid w:val="7AE64B83"/>
    <w:rsid w:val="7AF42850"/>
    <w:rsid w:val="7B002162"/>
    <w:rsid w:val="7B124FB7"/>
    <w:rsid w:val="7B2259AB"/>
    <w:rsid w:val="7B361A8A"/>
    <w:rsid w:val="7B4D52D4"/>
    <w:rsid w:val="7B83108A"/>
    <w:rsid w:val="7BAE5A06"/>
    <w:rsid w:val="7BDF1C40"/>
    <w:rsid w:val="7BFE2799"/>
    <w:rsid w:val="7C8B7BFA"/>
    <w:rsid w:val="7C8E275E"/>
    <w:rsid w:val="7CAB63B7"/>
    <w:rsid w:val="7CB818B8"/>
    <w:rsid w:val="7CD50713"/>
    <w:rsid w:val="7D8C5E76"/>
    <w:rsid w:val="7DA0352B"/>
    <w:rsid w:val="7DB019FA"/>
    <w:rsid w:val="7DCC7103"/>
    <w:rsid w:val="7DD2454F"/>
    <w:rsid w:val="7DDB2B1D"/>
    <w:rsid w:val="7DEC28EC"/>
    <w:rsid w:val="7E44423B"/>
    <w:rsid w:val="7E7855B5"/>
    <w:rsid w:val="7E8D32EE"/>
    <w:rsid w:val="7E8E0310"/>
    <w:rsid w:val="7E910721"/>
    <w:rsid w:val="7EA157B5"/>
    <w:rsid w:val="7EAA1182"/>
    <w:rsid w:val="7EB743C7"/>
    <w:rsid w:val="7EBD25E5"/>
    <w:rsid w:val="7EC622B6"/>
    <w:rsid w:val="7EDD2049"/>
    <w:rsid w:val="7F1D5ECC"/>
    <w:rsid w:val="7F3C6DE9"/>
    <w:rsid w:val="7F523215"/>
    <w:rsid w:val="7F8E7BAE"/>
    <w:rsid w:val="7FA81750"/>
    <w:rsid w:val="7FAC7F22"/>
    <w:rsid w:val="7FAE3944"/>
    <w:rsid w:val="7FB75BDC"/>
    <w:rsid w:val="7FE02F6D"/>
    <w:rsid w:val="7FE577FB"/>
    <w:rsid w:val="7FFA4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01FF1"/>
  <w15:docId w15:val="{D8F58FF8-0BF2-4938-863C-14F98553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Char1"/>
    <w:qFormat/>
  </w:style>
  <w:style w:type="paragraph" w:customStyle="1" w:styleId="3">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 w:type="character" w:customStyle="1" w:styleId="af8">
    <w:name w:val="列表段落 字符"/>
    <w:link w:val="af7"/>
    <w:uiPriority w:val="34"/>
    <w:qFormat/>
    <w:locked/>
    <w:rPr>
      <w:rFonts w:asciiTheme="minorHAnsi" w:eastAsiaTheme="minorEastAsia" w:hAnsiTheme="minorHAnsi" w:cstheme="minorBidi"/>
      <w:sz w:val="22"/>
      <w:szCs w:val="22"/>
    </w:rPr>
  </w:style>
  <w:style w:type="paragraph" w:customStyle="1" w:styleId="4">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5DA0C-BC68-4C69-95D1-5185996A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2839</Words>
  <Characters>16184</Characters>
  <Application>Microsoft Office Word</Application>
  <DocSecurity>0</DocSecurity>
  <Lines>134</Lines>
  <Paragraphs>37</Paragraphs>
  <ScaleCrop>false</ScaleCrop>
  <Company/>
  <LinksUpToDate>false</LinksUpToDate>
  <CharactersWithSpaces>18986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cp:lastModifiedBy>
  <cp:revision>14</cp:revision>
  <dcterms:created xsi:type="dcterms:W3CDTF">2023-08-10T07:11:00Z</dcterms:created>
  <dcterms:modified xsi:type="dcterms:W3CDTF">2023-08-11T09:06:00Z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